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3" w:rsidRDefault="00FE0F63" w:rsidP="00FE0F63">
      <w:pPr>
        <w:pStyle w:val="a4"/>
        <w:rPr>
          <w:szCs w:val="28"/>
        </w:rPr>
      </w:pPr>
      <w:proofErr w:type="gramStart"/>
      <w:r w:rsidRPr="00F77D34">
        <w:rPr>
          <w:szCs w:val="28"/>
        </w:rPr>
        <w:t>П</w:t>
      </w:r>
      <w:proofErr w:type="gramEnd"/>
      <w:r w:rsidRPr="00F77D34">
        <w:rPr>
          <w:szCs w:val="28"/>
        </w:rPr>
        <w:t xml:space="preserve"> О С Т А Н О В Л Е Н И Е</w:t>
      </w:r>
    </w:p>
    <w:p w:rsidR="003B7E72" w:rsidRDefault="00FE0F63" w:rsidP="00FE0F63">
      <w:pPr>
        <w:pStyle w:val="a4"/>
        <w:rPr>
          <w:szCs w:val="28"/>
        </w:rPr>
      </w:pPr>
      <w:r w:rsidRPr="00F77D34">
        <w:rPr>
          <w:szCs w:val="28"/>
        </w:rPr>
        <w:t>администрации Даниловского</w:t>
      </w:r>
      <w:r w:rsidR="00C55945">
        <w:rPr>
          <w:szCs w:val="28"/>
        </w:rPr>
        <w:t xml:space="preserve"> сельского поселения </w:t>
      </w:r>
    </w:p>
    <w:p w:rsidR="003B7E72" w:rsidRDefault="00C55945" w:rsidP="00FE0F63">
      <w:pPr>
        <w:pStyle w:val="a4"/>
        <w:rPr>
          <w:szCs w:val="28"/>
        </w:rPr>
      </w:pPr>
      <w:r>
        <w:rPr>
          <w:szCs w:val="28"/>
        </w:rPr>
        <w:t>Даниловского</w:t>
      </w:r>
      <w:r w:rsidR="00FE0F63" w:rsidRPr="00F77D34">
        <w:rPr>
          <w:szCs w:val="28"/>
        </w:rPr>
        <w:t xml:space="preserve"> муниципального района</w:t>
      </w:r>
    </w:p>
    <w:p w:rsidR="00FE0F63" w:rsidRPr="00F77D34" w:rsidRDefault="00C55945" w:rsidP="00FE0F63">
      <w:pPr>
        <w:pStyle w:val="a4"/>
        <w:rPr>
          <w:szCs w:val="28"/>
        </w:rPr>
      </w:pPr>
      <w:r>
        <w:rPr>
          <w:szCs w:val="28"/>
        </w:rPr>
        <w:t xml:space="preserve"> Ярославской области</w:t>
      </w:r>
    </w:p>
    <w:p w:rsidR="00FE0F63" w:rsidRPr="00273AA3" w:rsidRDefault="00FE0F63" w:rsidP="00FE0F6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E0F63" w:rsidRDefault="00FE0F63" w:rsidP="00C55945">
      <w:pPr>
        <w:spacing w:after="0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t>от</w:t>
      </w:r>
      <w:r w:rsidR="00FB2D18">
        <w:rPr>
          <w:rFonts w:ascii="Times New Roman" w:hAnsi="Times New Roman"/>
          <w:sz w:val="28"/>
          <w:szCs w:val="28"/>
        </w:rPr>
        <w:t xml:space="preserve">  </w:t>
      </w:r>
      <w:r w:rsidRPr="00F77D34">
        <w:rPr>
          <w:rFonts w:ascii="Times New Roman" w:hAnsi="Times New Roman"/>
          <w:sz w:val="28"/>
          <w:szCs w:val="28"/>
        </w:rPr>
        <w:t xml:space="preserve"> </w:t>
      </w:r>
      <w:r w:rsidR="00C55945">
        <w:rPr>
          <w:rFonts w:ascii="Times New Roman" w:hAnsi="Times New Roman"/>
          <w:sz w:val="28"/>
          <w:szCs w:val="28"/>
        </w:rPr>
        <w:t>15.07</w:t>
      </w:r>
      <w:r w:rsidR="008E486D">
        <w:rPr>
          <w:rFonts w:ascii="Times New Roman" w:hAnsi="Times New Roman"/>
          <w:sz w:val="28"/>
          <w:szCs w:val="28"/>
        </w:rPr>
        <w:t xml:space="preserve">.2015  </w:t>
      </w:r>
      <w:r w:rsidRPr="00F77D34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3B7E72">
        <w:rPr>
          <w:rFonts w:ascii="Times New Roman" w:hAnsi="Times New Roman"/>
          <w:sz w:val="28"/>
          <w:szCs w:val="28"/>
        </w:rPr>
        <w:t>103</w:t>
      </w:r>
    </w:p>
    <w:p w:rsidR="00C55945" w:rsidRPr="00F77D34" w:rsidRDefault="00C55945" w:rsidP="00C55945">
      <w:pPr>
        <w:spacing w:after="0"/>
        <w:rPr>
          <w:szCs w:val="28"/>
        </w:rPr>
      </w:pPr>
    </w:p>
    <w:p w:rsidR="00FE0F63" w:rsidRPr="00F77D34" w:rsidRDefault="00BF1E95" w:rsidP="005926F2">
      <w:pPr>
        <w:pStyle w:val="ConsPlusNormal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О Порядке формирования, утверждения и ведения </w:t>
      </w:r>
      <w:r w:rsidR="00792BE6">
        <w:rPr>
          <w:rFonts w:ascii="Times New Roman" w:hAnsi="Times New Roman" w:cs="Times New Roman"/>
          <w:sz w:val="28"/>
          <w:szCs w:val="28"/>
        </w:rPr>
        <w:t>планов закупок товаров, работ, услуг</w:t>
      </w:r>
      <w:r w:rsidRPr="00F77D34">
        <w:rPr>
          <w:rFonts w:ascii="Times New Roman" w:hAnsi="Times New Roman" w:cs="Times New Roman"/>
          <w:sz w:val="28"/>
          <w:szCs w:val="28"/>
        </w:rPr>
        <w:t xml:space="preserve"> для обеспечения нужд</w:t>
      </w:r>
      <w:r w:rsidR="005926F2">
        <w:rPr>
          <w:rFonts w:ascii="Times New Roman" w:hAnsi="Times New Roman" w:cs="Times New Roman"/>
          <w:sz w:val="28"/>
          <w:szCs w:val="28"/>
        </w:rPr>
        <w:t xml:space="preserve"> </w:t>
      </w:r>
      <w:r w:rsidR="003B7E72">
        <w:rPr>
          <w:rFonts w:ascii="Times New Roman" w:hAnsi="Times New Roman" w:cs="Times New Roman"/>
          <w:sz w:val="28"/>
          <w:szCs w:val="28"/>
        </w:rPr>
        <w:t xml:space="preserve">Даниловского сельского поселения </w:t>
      </w:r>
      <w:r w:rsidR="005926F2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F77D34">
        <w:rPr>
          <w:rFonts w:ascii="Times New Roman" w:hAnsi="Times New Roman" w:cs="Times New Roman"/>
          <w:sz w:val="28"/>
          <w:szCs w:val="28"/>
        </w:rPr>
        <w:t>Ярославской области.</w:t>
      </w:r>
      <w:r w:rsidR="00FE0F63" w:rsidRPr="00F7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63" w:rsidRPr="00F77D34" w:rsidRDefault="00FE0F63" w:rsidP="00FE0F63">
      <w:pPr>
        <w:pStyle w:val="a6"/>
        <w:tabs>
          <w:tab w:val="left" w:pos="6096"/>
        </w:tabs>
        <w:ind w:right="0"/>
        <w:rPr>
          <w:szCs w:val="28"/>
        </w:rPr>
      </w:pPr>
    </w:p>
    <w:p w:rsidR="00F77D34" w:rsidRPr="00F77D34" w:rsidRDefault="00F77D34" w:rsidP="00F5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F63" w:rsidRPr="00F77D34" w:rsidRDefault="0010346D" w:rsidP="00F5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34">
        <w:rPr>
          <w:rFonts w:ascii="Times New Roman" w:hAnsi="Times New Roman"/>
          <w:sz w:val="28"/>
          <w:szCs w:val="28"/>
        </w:rPr>
        <w:t xml:space="preserve">В соответствии с </w:t>
      </w:r>
      <w:r w:rsidR="00BF1E95" w:rsidRPr="00F77D34">
        <w:rPr>
          <w:rFonts w:ascii="Times New Roman" w:hAnsi="Times New Roman"/>
          <w:sz w:val="28"/>
          <w:szCs w:val="28"/>
        </w:rPr>
        <w:t>частью 5 статьи 1</w:t>
      </w:r>
      <w:r w:rsidR="00792BE6">
        <w:rPr>
          <w:rFonts w:ascii="Times New Roman" w:hAnsi="Times New Roman"/>
          <w:sz w:val="28"/>
          <w:szCs w:val="28"/>
        </w:rPr>
        <w:t>7</w:t>
      </w:r>
      <w:r w:rsidR="00BF1E95" w:rsidRPr="00F77D34">
        <w:rPr>
          <w:rFonts w:ascii="Times New Roman" w:hAnsi="Times New Roman"/>
          <w:sz w:val="28"/>
          <w:szCs w:val="28"/>
        </w:rPr>
        <w:t xml:space="preserve"> Федерального </w:t>
      </w:r>
      <w:r w:rsidR="00F576C2" w:rsidRPr="00F77D34">
        <w:rPr>
          <w:rFonts w:ascii="Times New Roman" w:hAnsi="Times New Roman"/>
          <w:sz w:val="28"/>
          <w:szCs w:val="28"/>
        </w:rPr>
        <w:t>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 ноября 2013 года № 104</w:t>
      </w:r>
      <w:r w:rsidR="00792BE6">
        <w:rPr>
          <w:rFonts w:ascii="Times New Roman" w:hAnsi="Times New Roman"/>
          <w:sz w:val="28"/>
          <w:szCs w:val="28"/>
        </w:rPr>
        <w:t xml:space="preserve">3 «О требованиях </w:t>
      </w:r>
      <w:r w:rsidR="00792BE6" w:rsidRPr="00792BE6">
        <w:rPr>
          <w:rFonts w:ascii="Times New Roman" w:hAnsi="Times New Roman"/>
          <w:sz w:val="28"/>
          <w:szCs w:val="28"/>
        </w:rPr>
        <w:t>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="00792BE6" w:rsidRPr="00792BE6">
        <w:rPr>
          <w:rFonts w:ascii="Times New Roman" w:hAnsi="Times New Roman"/>
          <w:sz w:val="28"/>
          <w:szCs w:val="28"/>
        </w:rPr>
        <w:t xml:space="preserve"> муниципальных нужд, а также </w:t>
      </w:r>
      <w:proofErr w:type="gramStart"/>
      <w:r w:rsidR="00792BE6" w:rsidRPr="00792BE6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792BE6" w:rsidRPr="00792BE6">
        <w:rPr>
          <w:rFonts w:ascii="Times New Roman" w:hAnsi="Times New Roman"/>
          <w:sz w:val="28"/>
          <w:szCs w:val="28"/>
        </w:rPr>
        <w:t xml:space="preserve"> к форме планов закупок товаров, работ, услуг</w:t>
      </w:r>
      <w:r w:rsidR="00C47389">
        <w:rPr>
          <w:rFonts w:ascii="Times New Roman" w:hAnsi="Times New Roman"/>
          <w:sz w:val="28"/>
          <w:szCs w:val="28"/>
        </w:rPr>
        <w:t>»</w:t>
      </w:r>
      <w:r w:rsidR="00F576C2" w:rsidRPr="00F77D34">
        <w:rPr>
          <w:rFonts w:ascii="Times New Roman" w:hAnsi="Times New Roman"/>
          <w:sz w:val="28"/>
          <w:szCs w:val="28"/>
        </w:rPr>
        <w:t xml:space="preserve">, </w:t>
      </w:r>
    </w:p>
    <w:p w:rsidR="00FE0F63" w:rsidRPr="00F77D34" w:rsidRDefault="00FE0F63" w:rsidP="00FE0F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F63" w:rsidRPr="00F77D34" w:rsidRDefault="00FE0F63" w:rsidP="00FE0F63">
      <w:pPr>
        <w:pStyle w:val="1"/>
        <w:ind w:left="0" w:right="0" w:hanging="142"/>
        <w:jc w:val="center"/>
        <w:rPr>
          <w:rFonts w:ascii="Times New Roman" w:hAnsi="Times New Roman"/>
          <w:szCs w:val="28"/>
        </w:rPr>
      </w:pPr>
      <w:r w:rsidRPr="00F77D34">
        <w:rPr>
          <w:rFonts w:ascii="Times New Roman" w:hAnsi="Times New Roman"/>
          <w:szCs w:val="28"/>
        </w:rPr>
        <w:t>ПОСТАНОВЛЯЮ:</w:t>
      </w:r>
    </w:p>
    <w:p w:rsidR="00FE0F63" w:rsidRPr="00F77D34" w:rsidRDefault="00FE0F63" w:rsidP="00FE0F63">
      <w:pPr>
        <w:pStyle w:val="1"/>
        <w:ind w:left="0" w:right="0" w:hanging="142"/>
        <w:jc w:val="center"/>
        <w:rPr>
          <w:rFonts w:ascii="Times New Roman" w:hAnsi="Times New Roman"/>
          <w:szCs w:val="28"/>
        </w:rPr>
      </w:pPr>
    </w:p>
    <w:p w:rsidR="00FE0F63" w:rsidRPr="00F77D34" w:rsidRDefault="00FE0F63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B24" w:rsidRPr="00F77D34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792BE6">
        <w:rPr>
          <w:rFonts w:ascii="Times New Roman" w:hAnsi="Times New Roman" w:cs="Times New Roman"/>
          <w:sz w:val="28"/>
          <w:szCs w:val="28"/>
        </w:rPr>
        <w:t xml:space="preserve">,  утверждения и ведения планов </w:t>
      </w:r>
      <w:r w:rsidR="00185B24" w:rsidRPr="00F77D34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нужд Даниловского муниципального района </w:t>
      </w:r>
      <w:r w:rsidR="00792BE6">
        <w:rPr>
          <w:rFonts w:ascii="Times New Roman" w:hAnsi="Times New Roman" w:cs="Times New Roman"/>
          <w:sz w:val="28"/>
          <w:szCs w:val="28"/>
        </w:rPr>
        <w:t xml:space="preserve">Ярославкой области </w:t>
      </w:r>
      <w:r w:rsidR="00185B24" w:rsidRPr="00F77D34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FE0F63" w:rsidRPr="00F77D34" w:rsidRDefault="00FE0F63" w:rsidP="00875B0B">
      <w:pPr>
        <w:pStyle w:val="a6"/>
        <w:tabs>
          <w:tab w:val="left" w:pos="6096"/>
        </w:tabs>
        <w:ind w:right="0" w:firstLine="567"/>
        <w:rPr>
          <w:rFonts w:eastAsiaTheme="minorEastAsia"/>
          <w:szCs w:val="28"/>
        </w:rPr>
      </w:pPr>
      <w:r w:rsidRPr="00F77D34">
        <w:rPr>
          <w:szCs w:val="28"/>
        </w:rPr>
        <w:t xml:space="preserve">2. </w:t>
      </w:r>
      <w:r w:rsidR="00185B24" w:rsidRPr="00F77D34">
        <w:rPr>
          <w:szCs w:val="28"/>
        </w:rPr>
        <w:t>Установить, что Порядок, указанный в пункте 1, подлежит размеще</w:t>
      </w:r>
      <w:r w:rsidR="00792BE6">
        <w:rPr>
          <w:szCs w:val="28"/>
        </w:rPr>
        <w:t>нию в единой информационной системе,</w:t>
      </w:r>
      <w:r w:rsidR="00185B24" w:rsidRPr="00F77D34">
        <w:rPr>
          <w:szCs w:val="28"/>
        </w:rPr>
        <w:t xml:space="preserve"> </w:t>
      </w:r>
      <w:r w:rsidR="00792BE6">
        <w:rPr>
          <w:szCs w:val="28"/>
        </w:rPr>
        <w:t>а</w:t>
      </w:r>
      <w:r w:rsidR="00185B24" w:rsidRPr="00F77D34">
        <w:rPr>
          <w:szCs w:val="28"/>
        </w:rPr>
        <w:t xml:space="preserve">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</w:t>
      </w:r>
      <w:hyperlink r:id="rId6" w:history="1">
        <w:r w:rsidR="00185B24" w:rsidRPr="007D3F53">
          <w:t>www.zakupki.gov.ru</w:t>
        </w:r>
      </w:hyperlink>
      <w:r w:rsidR="00185B24" w:rsidRPr="00F77D34">
        <w:rPr>
          <w:szCs w:val="28"/>
        </w:rPr>
        <w:t>, в течени</w:t>
      </w:r>
      <w:r w:rsidR="00A17D52" w:rsidRPr="00F77D34">
        <w:rPr>
          <w:szCs w:val="28"/>
        </w:rPr>
        <w:t xml:space="preserve">е </w:t>
      </w:r>
      <w:r w:rsidR="00185B24" w:rsidRPr="00F77D34">
        <w:rPr>
          <w:szCs w:val="28"/>
        </w:rPr>
        <w:t>3 дней со дня его утверждения</w:t>
      </w:r>
      <w:r w:rsidRPr="00F77D34">
        <w:rPr>
          <w:rFonts w:eastAsiaTheme="minorEastAsia"/>
          <w:szCs w:val="28"/>
        </w:rPr>
        <w:t>.</w:t>
      </w:r>
    </w:p>
    <w:p w:rsidR="00FE0F63" w:rsidRPr="00F77D34" w:rsidRDefault="00FE0F63" w:rsidP="00FE0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D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5594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77D34">
        <w:rPr>
          <w:rFonts w:ascii="Times New Roman" w:hAnsi="Times New Roman" w:cs="Times New Roman"/>
          <w:sz w:val="28"/>
          <w:szCs w:val="28"/>
        </w:rPr>
        <w:t>.</w:t>
      </w:r>
    </w:p>
    <w:p w:rsidR="00FE0F63" w:rsidRPr="00F77D34" w:rsidRDefault="00185B24" w:rsidP="00FE0F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t>4</w:t>
      </w:r>
      <w:r w:rsidR="00FE0F63" w:rsidRPr="00F77D3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1D03" w:rsidRPr="00F77D34">
        <w:rPr>
          <w:rFonts w:ascii="Times New Roman" w:hAnsi="Times New Roman"/>
          <w:sz w:val="28"/>
          <w:szCs w:val="28"/>
        </w:rPr>
        <w:t>01.</w:t>
      </w:r>
      <w:r w:rsidRPr="00F77D34">
        <w:rPr>
          <w:rFonts w:ascii="Times New Roman" w:hAnsi="Times New Roman"/>
          <w:sz w:val="28"/>
          <w:szCs w:val="28"/>
        </w:rPr>
        <w:t>01</w:t>
      </w:r>
      <w:r w:rsidR="00401D03" w:rsidRPr="00F77D34">
        <w:rPr>
          <w:rFonts w:ascii="Times New Roman" w:hAnsi="Times New Roman"/>
          <w:sz w:val="28"/>
          <w:szCs w:val="28"/>
        </w:rPr>
        <w:t>.201</w:t>
      </w:r>
      <w:r w:rsidRPr="00F77D34">
        <w:rPr>
          <w:rFonts w:ascii="Times New Roman" w:hAnsi="Times New Roman"/>
          <w:sz w:val="28"/>
          <w:szCs w:val="28"/>
        </w:rPr>
        <w:t>5</w:t>
      </w:r>
      <w:r w:rsidR="00FE0F63" w:rsidRPr="00F77D34">
        <w:rPr>
          <w:rFonts w:ascii="Times New Roman" w:hAnsi="Times New Roman"/>
          <w:sz w:val="28"/>
          <w:szCs w:val="28"/>
        </w:rPr>
        <w:t>.</w:t>
      </w:r>
    </w:p>
    <w:p w:rsidR="00FE0F63" w:rsidRPr="00F77D34" w:rsidRDefault="00FE0F63" w:rsidP="00FE0F6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0F63" w:rsidRPr="00F77D34" w:rsidRDefault="00FE0F63" w:rsidP="00FE0F6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0F63" w:rsidRPr="00F77D34" w:rsidRDefault="00FE0F63" w:rsidP="00792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t xml:space="preserve">Глава Даниловского </w:t>
      </w:r>
    </w:p>
    <w:p w:rsidR="00FE0F63" w:rsidRPr="00273AA3" w:rsidRDefault="00C55945" w:rsidP="00792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E0F63" w:rsidRPr="00F77D34">
        <w:rPr>
          <w:rFonts w:ascii="Times New Roman" w:hAnsi="Times New Roman"/>
          <w:sz w:val="28"/>
          <w:szCs w:val="28"/>
        </w:rPr>
        <w:t xml:space="preserve">              </w:t>
      </w:r>
      <w:r w:rsidR="00F77D3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E0F63" w:rsidRPr="00F77D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Иванычева</w:t>
      </w:r>
      <w:r w:rsidR="00FE0F63" w:rsidRPr="00273AA3">
        <w:rPr>
          <w:rFonts w:ascii="Times New Roman" w:hAnsi="Times New Roman"/>
          <w:sz w:val="24"/>
          <w:szCs w:val="24"/>
        </w:rPr>
        <w:t xml:space="preserve">            </w:t>
      </w:r>
    </w:p>
    <w:p w:rsidR="00FE0F63" w:rsidRPr="00273AA3" w:rsidRDefault="00FE0F63" w:rsidP="00792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Pr="003B7E72" w:rsidRDefault="00FE0F63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3B7E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E0F63" w:rsidRPr="003B7E72" w:rsidRDefault="00FE0F63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3B7E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0F63" w:rsidRPr="003B7E72" w:rsidRDefault="00FE0F63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3B7E72">
        <w:rPr>
          <w:rFonts w:ascii="Times New Roman" w:hAnsi="Times New Roman"/>
          <w:sz w:val="24"/>
          <w:szCs w:val="24"/>
        </w:rPr>
        <w:t xml:space="preserve">Даниловского </w:t>
      </w:r>
      <w:r w:rsidR="00C55945" w:rsidRPr="003B7E72">
        <w:rPr>
          <w:rFonts w:ascii="Times New Roman" w:hAnsi="Times New Roman"/>
          <w:sz w:val="24"/>
          <w:szCs w:val="24"/>
        </w:rPr>
        <w:t>сельского поселения</w:t>
      </w:r>
      <w:r w:rsidRPr="003B7E72">
        <w:rPr>
          <w:rFonts w:ascii="Times New Roman" w:hAnsi="Times New Roman"/>
          <w:sz w:val="24"/>
          <w:szCs w:val="24"/>
        </w:rPr>
        <w:t xml:space="preserve"> </w:t>
      </w:r>
    </w:p>
    <w:p w:rsidR="00AF468D" w:rsidRPr="003B7E72" w:rsidRDefault="00D66176" w:rsidP="00AF46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7E72">
        <w:rPr>
          <w:rFonts w:ascii="Times New Roman" w:hAnsi="Times New Roman"/>
          <w:sz w:val="24"/>
          <w:szCs w:val="24"/>
        </w:rPr>
        <w:t xml:space="preserve">от </w:t>
      </w:r>
      <w:r w:rsidR="003B7E72">
        <w:rPr>
          <w:rFonts w:ascii="Times New Roman" w:hAnsi="Times New Roman"/>
          <w:sz w:val="24"/>
          <w:szCs w:val="24"/>
        </w:rPr>
        <w:t>15.07.2015</w:t>
      </w:r>
      <w:r w:rsidR="00AF468D" w:rsidRPr="003B7E72">
        <w:rPr>
          <w:rFonts w:ascii="Times New Roman" w:hAnsi="Times New Roman"/>
          <w:sz w:val="24"/>
          <w:szCs w:val="24"/>
        </w:rPr>
        <w:t xml:space="preserve"> № </w:t>
      </w:r>
      <w:r w:rsidR="003B7E72">
        <w:rPr>
          <w:rFonts w:ascii="Times New Roman" w:hAnsi="Times New Roman"/>
          <w:sz w:val="24"/>
          <w:szCs w:val="24"/>
        </w:rPr>
        <w:t>103</w:t>
      </w:r>
    </w:p>
    <w:p w:rsidR="00FE0F63" w:rsidRPr="00F77D34" w:rsidRDefault="00FE0F63" w:rsidP="00FE0F6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0F63" w:rsidRPr="00F77D34" w:rsidRDefault="00FE0F63" w:rsidP="00FE0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55" w:rsidRPr="00F77D34" w:rsidRDefault="00990862" w:rsidP="005B5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17D52" w:rsidRPr="00C55945" w:rsidRDefault="00F77D34" w:rsidP="008E0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45">
        <w:rPr>
          <w:rFonts w:ascii="Times New Roman" w:hAnsi="Times New Roman" w:cs="Times New Roman"/>
          <w:b/>
          <w:sz w:val="28"/>
          <w:szCs w:val="28"/>
        </w:rPr>
        <w:t>ф</w:t>
      </w:r>
      <w:r w:rsidR="00A17D52" w:rsidRPr="00C55945">
        <w:rPr>
          <w:rFonts w:ascii="Times New Roman" w:hAnsi="Times New Roman" w:cs="Times New Roman"/>
          <w:b/>
          <w:sz w:val="28"/>
          <w:szCs w:val="28"/>
        </w:rPr>
        <w:t>ормирования, утверждения и ведения планов</w:t>
      </w:r>
      <w:r w:rsidR="00D66176" w:rsidRPr="00C55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52" w:rsidRPr="00C55945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обеспечения нужд Даниловского</w:t>
      </w:r>
      <w:r w:rsidR="00C559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Даниловского</w:t>
      </w:r>
      <w:r w:rsidR="00A17D52" w:rsidRPr="00C559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55945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8E0383" w:rsidRPr="00F77D34" w:rsidRDefault="00A17D52" w:rsidP="008E0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52" w:rsidRDefault="00A17D52" w:rsidP="00A17D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15"/>
      <w:bookmarkEnd w:id="1"/>
      <w:r w:rsidRPr="00F77D34">
        <w:rPr>
          <w:rFonts w:ascii="Times New Roman" w:eastAsia="Times New Roman" w:hAnsi="Times New Roman"/>
          <w:sz w:val="28"/>
          <w:szCs w:val="28"/>
        </w:rPr>
        <w:t>1.</w:t>
      </w:r>
      <w:r w:rsidR="00C709DB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43929" w:rsidRPr="00B43929">
        <w:rPr>
          <w:rFonts w:ascii="Times New Roman" w:eastAsia="Times New Roman" w:hAnsi="Times New Roman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r w:rsidR="003F4DB3">
        <w:rPr>
          <w:rFonts w:ascii="Times New Roman" w:eastAsia="Times New Roman" w:hAnsi="Times New Roman"/>
          <w:sz w:val="28"/>
          <w:szCs w:val="28"/>
        </w:rPr>
        <w:t>Даниловского</w:t>
      </w:r>
      <w:r w:rsidR="00C55945">
        <w:rPr>
          <w:rFonts w:ascii="Times New Roman" w:eastAsia="Times New Roman" w:hAnsi="Times New Roman"/>
          <w:sz w:val="28"/>
          <w:szCs w:val="28"/>
        </w:rPr>
        <w:t xml:space="preserve"> сельского поселения Даниловского</w:t>
      </w:r>
      <w:r w:rsidR="003F4DB3">
        <w:rPr>
          <w:rFonts w:ascii="Times New Roman" w:eastAsia="Times New Roman" w:hAnsi="Times New Roman"/>
          <w:sz w:val="28"/>
          <w:szCs w:val="28"/>
        </w:rPr>
        <w:t xml:space="preserve"> муниципального района  </w:t>
      </w:r>
      <w:r w:rsidR="00B43929" w:rsidRPr="00B43929">
        <w:rPr>
          <w:rFonts w:ascii="Times New Roman" w:eastAsia="Times New Roman" w:hAnsi="Times New Roman"/>
          <w:sz w:val="28"/>
          <w:szCs w:val="28"/>
        </w:rPr>
        <w:t>Ярославской области (далее – Порядок)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учетом требований</w:t>
      </w:r>
      <w:proofErr w:type="gramEnd"/>
      <w:r w:rsidR="00B43929" w:rsidRPr="00B439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43929" w:rsidRPr="00B43929">
        <w:rPr>
          <w:rFonts w:ascii="Times New Roman" w:eastAsia="Times New Roman" w:hAnsi="Times New Roman"/>
          <w:sz w:val="28"/>
          <w:szCs w:val="28"/>
        </w:rPr>
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</w:t>
      </w:r>
      <w:r w:rsidR="003F4DB3">
        <w:rPr>
          <w:rFonts w:ascii="Times New Roman" w:eastAsia="Times New Roman" w:hAnsi="Times New Roman"/>
          <w:sz w:val="28"/>
          <w:szCs w:val="28"/>
        </w:rPr>
        <w:t>ода</w:t>
      </w:r>
      <w:r w:rsidR="00B43929" w:rsidRPr="00B43929">
        <w:rPr>
          <w:rFonts w:ascii="Times New Roman" w:eastAsia="Times New Roman" w:hAnsi="Times New Roman"/>
          <w:sz w:val="28"/>
          <w:szCs w:val="28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="00B43929" w:rsidRPr="00B43929">
        <w:rPr>
          <w:rFonts w:ascii="Times New Roman" w:eastAsia="Times New Roman" w:hAnsi="Times New Roman"/>
          <w:sz w:val="28"/>
          <w:szCs w:val="28"/>
        </w:rPr>
        <w:t xml:space="preserve">, услуг», и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r w:rsidR="00C55945">
        <w:rPr>
          <w:rFonts w:ascii="Times New Roman" w:eastAsia="Times New Roman" w:hAnsi="Times New Roman"/>
          <w:sz w:val="28"/>
          <w:szCs w:val="28"/>
        </w:rPr>
        <w:t xml:space="preserve">Даниловского сельского поселения </w:t>
      </w:r>
      <w:r w:rsidR="00B43929">
        <w:rPr>
          <w:rFonts w:ascii="Times New Roman" w:eastAsia="Times New Roman" w:hAnsi="Times New Roman"/>
          <w:sz w:val="28"/>
          <w:szCs w:val="28"/>
        </w:rPr>
        <w:t>Даниловского муниципального района Ярославской области  (далее – планы закупок).</w:t>
      </w:r>
    </w:p>
    <w:p w:rsidR="00E46348" w:rsidRDefault="00E46348" w:rsidP="00E4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Планы закупок формируются  исходя из целей осуществления закупок, определенных с учетом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органов.</w:t>
      </w:r>
    </w:p>
    <w:p w:rsidR="00E46348" w:rsidRDefault="00E46348" w:rsidP="00E4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FB7E3F" w:rsidRDefault="0049766D" w:rsidP="0049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B7E3F">
        <w:rPr>
          <w:rFonts w:ascii="Times New Roman" w:eastAsiaTheme="minorHAnsi" w:hAnsi="Times New Roman"/>
          <w:sz w:val="28"/>
          <w:szCs w:val="28"/>
          <w:lang w:eastAsia="en-US"/>
        </w:rPr>
        <w:t>. Планы закупок формируются на срок, на который составляется Решение о бюджете</w:t>
      </w:r>
      <w:r w:rsidR="00C55945" w:rsidRPr="00C55945">
        <w:rPr>
          <w:rFonts w:ascii="Times New Roman" w:eastAsia="Times New Roman" w:hAnsi="Times New Roman"/>
          <w:sz w:val="28"/>
          <w:szCs w:val="28"/>
        </w:rPr>
        <w:t xml:space="preserve">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FB7E3F">
        <w:rPr>
          <w:rFonts w:ascii="Times New Roman" w:eastAsiaTheme="minorHAnsi" w:hAnsi="Times New Roman"/>
          <w:sz w:val="28"/>
          <w:szCs w:val="28"/>
          <w:lang w:eastAsia="en-US"/>
        </w:rPr>
        <w:t xml:space="preserve"> Даниловского </w:t>
      </w:r>
      <w:r w:rsidR="00FB7E3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муниципального района Ярославской области на очередной финансовый год и плановый период.</w:t>
      </w:r>
    </w:p>
    <w:p w:rsidR="0049766D" w:rsidRDefault="0049766D" w:rsidP="0049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Планы закупок на очередной финансовый год и плановый период разрабатываются путем изменения параметров очередного года и первого года пла</w:t>
      </w:r>
      <w:r w:rsidR="0039464E">
        <w:rPr>
          <w:rFonts w:ascii="Times New Roman" w:eastAsiaTheme="minorHAnsi" w:hAnsi="Times New Roman"/>
          <w:sz w:val="28"/>
          <w:szCs w:val="28"/>
          <w:lang w:eastAsia="en-US"/>
        </w:rPr>
        <w:t>нового периода утвержденного плана закупок и добавления к ним параметров второго года планового периода.</w:t>
      </w:r>
    </w:p>
    <w:p w:rsidR="00A17D52" w:rsidRPr="00F77D34" w:rsidRDefault="0039464E" w:rsidP="00A17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Планы закупок </w:t>
      </w:r>
      <w:r w:rsidR="00C709DB" w:rsidRPr="00F77D34">
        <w:rPr>
          <w:rFonts w:ascii="Times New Roman" w:eastAsia="Times New Roman" w:hAnsi="Times New Roman"/>
          <w:sz w:val="28"/>
          <w:szCs w:val="28"/>
        </w:rPr>
        <w:t xml:space="preserve">формируются и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утверждаются в течение 10 рабочих дней:</w:t>
      </w:r>
    </w:p>
    <w:p w:rsidR="00C3128C" w:rsidRDefault="0039464E" w:rsidP="00C31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.1.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>Муниципальными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заказчиками, действующими от имени</w:t>
      </w:r>
      <w:r w:rsidR="00C55945" w:rsidRPr="00C55945">
        <w:rPr>
          <w:rFonts w:ascii="Times New Roman" w:eastAsia="Times New Roman" w:hAnsi="Times New Roman"/>
          <w:sz w:val="28"/>
          <w:szCs w:val="28"/>
        </w:rPr>
        <w:t xml:space="preserve">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Даниловского муниципального района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 xml:space="preserve">Ярославской области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(далее – </w:t>
      </w:r>
      <w:proofErr w:type="gramStart"/>
      <w:r w:rsidR="00547C6D" w:rsidRPr="00F77D34">
        <w:rPr>
          <w:rFonts w:ascii="Times New Roman" w:eastAsia="Times New Roman" w:hAnsi="Times New Roman"/>
          <w:sz w:val="28"/>
          <w:szCs w:val="28"/>
        </w:rPr>
        <w:t>муниципальный</w:t>
      </w:r>
      <w:proofErr w:type="gramEnd"/>
      <w:r w:rsidR="00C3128C">
        <w:rPr>
          <w:rFonts w:ascii="Times New Roman" w:eastAsia="Times New Roman" w:hAnsi="Times New Roman"/>
          <w:sz w:val="28"/>
          <w:szCs w:val="28"/>
        </w:rPr>
        <w:t xml:space="preserve"> заказчики), после доведения </w:t>
      </w:r>
      <w:r w:rsidR="00C3128C" w:rsidRPr="00C3128C">
        <w:rPr>
          <w:rFonts w:ascii="Times New Roman" w:eastAsia="Times New Roman" w:hAnsi="Times New Roman"/>
          <w:sz w:val="28"/>
          <w:szCs w:val="28"/>
        </w:rPr>
        <w:t xml:space="preserve">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anchor="block_722" w:history="1">
        <w:r w:rsidR="00C3128C" w:rsidRPr="00C3128C">
          <w:rPr>
            <w:rFonts w:ascii="Times New Roman" w:eastAsia="Times New Roman" w:hAnsi="Times New Roman"/>
            <w:sz w:val="28"/>
            <w:szCs w:val="28"/>
          </w:rPr>
          <w:t>бюджетным законодательством</w:t>
        </w:r>
      </w:hyperlink>
      <w:bookmarkStart w:id="2" w:name="Par48"/>
      <w:bookmarkEnd w:id="2"/>
      <w:r w:rsidR="00C3128C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A17D52" w:rsidRPr="00F77D34" w:rsidRDefault="00C3128C" w:rsidP="00C31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Бюджетными учреждениями, созданными </w:t>
      </w:r>
      <w:r w:rsidR="001331AC" w:rsidRPr="00F77D34">
        <w:rPr>
          <w:rFonts w:ascii="Times New Roman" w:eastAsia="Times New Roman" w:hAnsi="Times New Roman"/>
          <w:sz w:val="28"/>
          <w:szCs w:val="28"/>
        </w:rPr>
        <w:t>муниципальным образованием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за исключением закупок, осуществляемых в соответствии с частями 2 и 6 статьи 15 Федерального закона о контрактной системе, после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утверждения планов финансово-хозяйственной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31AC" w:rsidRDefault="00CB12BF" w:rsidP="001331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49"/>
      <w:bookmarkEnd w:id="3"/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.3. </w:t>
      </w:r>
      <w:proofErr w:type="gramStart"/>
      <w:r w:rsidR="001331AC" w:rsidRPr="00F77D34">
        <w:rPr>
          <w:rFonts w:ascii="Times New Roman" w:eastAsia="Times New Roman" w:hAnsi="Times New Roman"/>
          <w:sz w:val="28"/>
          <w:szCs w:val="28"/>
        </w:rPr>
        <w:t xml:space="preserve">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</w:t>
      </w:r>
      <w:r>
        <w:rPr>
          <w:rFonts w:ascii="Times New Roman" w:eastAsia="Times New Roman" w:hAnsi="Times New Roman"/>
          <w:sz w:val="28"/>
          <w:szCs w:val="28"/>
        </w:rPr>
        <w:t>после</w:t>
      </w:r>
      <w:r w:rsidR="001331AC" w:rsidRPr="00F77D34">
        <w:rPr>
          <w:rFonts w:ascii="Times New Roman" w:eastAsia="Times New Roman" w:hAnsi="Times New Roman"/>
          <w:sz w:val="28"/>
          <w:szCs w:val="28"/>
        </w:rPr>
        <w:t xml:space="preserve"> заключения соглашени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1331AC" w:rsidRPr="00F77D34">
        <w:rPr>
          <w:rFonts w:ascii="Times New Roman" w:eastAsia="Times New Roman" w:hAnsi="Times New Roman"/>
          <w:sz w:val="28"/>
          <w:szCs w:val="28"/>
        </w:rPr>
        <w:t xml:space="preserve">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</w:t>
      </w:r>
      <w:r>
        <w:rPr>
          <w:rFonts w:ascii="Times New Roman" w:eastAsia="Times New Roman" w:hAnsi="Times New Roman"/>
          <w:sz w:val="28"/>
          <w:szCs w:val="28"/>
        </w:rPr>
        <w:t>ее - субсидии).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этом в план закупок</w:t>
      </w:r>
      <w:r w:rsidR="001331AC" w:rsidRPr="00F77D34">
        <w:rPr>
          <w:rFonts w:ascii="Times New Roman" w:eastAsia="Times New Roman" w:hAnsi="Times New Roman"/>
          <w:sz w:val="28"/>
          <w:szCs w:val="28"/>
        </w:rPr>
        <w:t xml:space="preserve"> включаются только закупки, которые планируется осуществлять за счет субсидий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осуществление капитальных вложений</w:t>
      </w:r>
      <w:r w:rsidR="001331AC" w:rsidRPr="00F77D3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B12BF" w:rsidRDefault="00CB12BF" w:rsidP="00CB12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5.4. Бюджетными, автономными учреждениями, созданными муниципальным образованием, муниципальными унитарными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предприятиями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имущество которых принадлежит на праве собственности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C559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Даниловского муниципального района Ярославской области, осуществляющими закупки в рамках переданных им государственными органами субъектов Российской Федерации,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 частью 6 статьи 15 Федерального закона</w:t>
      </w:r>
      <w:r w:rsidR="003F4DB3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17D52" w:rsidRPr="00E9089C" w:rsidRDefault="00E74CBD" w:rsidP="00133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>Планы закупок</w:t>
      </w:r>
      <w:r>
        <w:rPr>
          <w:rFonts w:ascii="Times New Roman" w:eastAsia="Times New Roman" w:hAnsi="Times New Roman"/>
          <w:sz w:val="28"/>
          <w:szCs w:val="28"/>
        </w:rPr>
        <w:t xml:space="preserve"> для обеспечения муниципальных нужд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формируются лицами, указанными в </w:t>
      </w:r>
      <w:hyperlink w:anchor="Par46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пункте </w:t>
        </w:r>
      </w:hyperlink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орядка, на очередной финансовый год </w:t>
      </w:r>
      <w:r>
        <w:rPr>
          <w:rFonts w:ascii="Times New Roman" w:eastAsia="Times New Roman" w:hAnsi="Times New Roman"/>
          <w:sz w:val="28"/>
          <w:szCs w:val="28"/>
        </w:rPr>
        <w:t xml:space="preserve">и плановый период (очередной финансовый год) в сроки </w:t>
      </w:r>
      <w:r w:rsidR="00E9089C">
        <w:rPr>
          <w:rFonts w:ascii="Times New Roman" w:eastAsia="Times New Roman" w:hAnsi="Times New Roman"/>
          <w:sz w:val="28"/>
          <w:szCs w:val="28"/>
        </w:rPr>
        <w:t xml:space="preserve">установленными </w:t>
      </w:r>
      <w:r>
        <w:rPr>
          <w:rFonts w:ascii="Times New Roman" w:eastAsia="Times New Roman" w:hAnsi="Times New Roman"/>
          <w:sz w:val="28"/>
          <w:szCs w:val="28"/>
        </w:rPr>
        <w:t xml:space="preserve">органами местного самоуправления </w:t>
      </w:r>
      <w:r w:rsidR="00C55945">
        <w:rPr>
          <w:rFonts w:ascii="Times New Roman" w:eastAsia="Times New Roman" w:hAnsi="Times New Roman"/>
          <w:sz w:val="28"/>
          <w:szCs w:val="28"/>
        </w:rPr>
        <w:t xml:space="preserve">Даниловского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Даниловского муниципального </w:t>
      </w:r>
      <w:r w:rsidR="00E9089C">
        <w:rPr>
          <w:rFonts w:ascii="Times New Roman" w:eastAsia="Times New Roman" w:hAnsi="Times New Roman"/>
          <w:sz w:val="28"/>
          <w:szCs w:val="28"/>
        </w:rPr>
        <w:t>района Ярославской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и в виде единого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документа с учетом требований к форме планов закупок товаров, работ, услуг установленных законодательством Российской Федерации, с учетом следующих положений; </w:t>
      </w:r>
      <w:proofErr w:type="gramEnd"/>
    </w:p>
    <w:p w:rsidR="00C709DB" w:rsidRDefault="00083BD5" w:rsidP="00133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83BD5">
        <w:rPr>
          <w:rFonts w:ascii="Times New Roman" w:eastAsia="Times New Roman" w:hAnsi="Times New Roman"/>
          <w:sz w:val="28"/>
          <w:szCs w:val="28"/>
        </w:rPr>
        <w:t>6</w:t>
      </w:r>
      <w:r w:rsidR="00A17D52" w:rsidRPr="00083BD5">
        <w:rPr>
          <w:rFonts w:ascii="Times New Roman" w:eastAsia="Times New Roman" w:hAnsi="Times New Roman"/>
          <w:sz w:val="28"/>
          <w:szCs w:val="28"/>
        </w:rPr>
        <w:t xml:space="preserve">.1. </w:t>
      </w:r>
      <w:r w:rsidR="00C709DB" w:rsidRPr="00083BD5">
        <w:rPr>
          <w:rFonts w:ascii="Times New Roman" w:eastAsia="Times New Roman" w:hAnsi="Times New Roman"/>
          <w:sz w:val="28"/>
          <w:szCs w:val="28"/>
        </w:rPr>
        <w:t>муниципальные</w:t>
      </w:r>
      <w:r w:rsidR="00A17D52" w:rsidRPr="00083BD5">
        <w:rPr>
          <w:rFonts w:ascii="Times New Roman" w:eastAsia="Times New Roman" w:hAnsi="Times New Roman"/>
          <w:sz w:val="28"/>
          <w:szCs w:val="28"/>
        </w:rPr>
        <w:t xml:space="preserve"> заказчики в сроки</w:t>
      </w:r>
      <w:r w:rsidR="00A17D52" w:rsidRPr="00E9089C">
        <w:rPr>
          <w:rFonts w:ascii="Times New Roman" w:eastAsia="Times New Roman" w:hAnsi="Times New Roman"/>
          <w:b/>
          <w:sz w:val="28"/>
          <w:szCs w:val="28"/>
        </w:rPr>
        <w:t>,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установленные главными распорядителями средств бюджета</w:t>
      </w:r>
      <w:r w:rsidR="00C55945" w:rsidRPr="00C55945">
        <w:rPr>
          <w:rFonts w:ascii="Times New Roman" w:eastAsia="Times New Roman" w:hAnsi="Times New Roman"/>
          <w:sz w:val="28"/>
          <w:szCs w:val="28"/>
        </w:rPr>
        <w:t xml:space="preserve">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r w:rsidR="00C709DB" w:rsidRPr="00F77D34">
        <w:rPr>
          <w:rFonts w:ascii="Times New Roman" w:eastAsia="Times New Roman" w:hAnsi="Times New Roman"/>
          <w:sz w:val="28"/>
          <w:szCs w:val="28"/>
        </w:rPr>
        <w:t xml:space="preserve">Даниловского муниципального района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Ярославской области, но не позднее срок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, установле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>нн</w:t>
      </w:r>
      <w:r>
        <w:rPr>
          <w:rFonts w:ascii="Times New Roman" w:eastAsia="Times New Roman" w:hAnsi="Times New Roman"/>
          <w:sz w:val="28"/>
          <w:szCs w:val="28"/>
        </w:rPr>
        <w:t xml:space="preserve">ых 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органами местного самоуправления </w:t>
      </w:r>
      <w:r w:rsidR="00C55945">
        <w:rPr>
          <w:rFonts w:ascii="Times New Roman" w:eastAsia="Times New Roman" w:hAnsi="Times New Roman"/>
          <w:sz w:val="28"/>
          <w:szCs w:val="28"/>
        </w:rPr>
        <w:t xml:space="preserve">Даниловского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Даниловского муниципального района Ярославской области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>: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3BD5" w:rsidRDefault="007F6151" w:rsidP="0008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формируют планы закупок исходя из целей осуществления закупок, определенных с учетом положений статьи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 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</w:t>
      </w:r>
      <w:r w:rsidR="003F4DB3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>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83BD5" w:rsidRDefault="007F6151" w:rsidP="0008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 xml:space="preserve">корректируют </w:t>
      </w:r>
      <w:proofErr w:type="gramStart"/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необходимости по согласованию с главными распорядителями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 бюджета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C559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Даниловского муниципального района 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>планы закупок в процессе составления проекта решения о бюджете</w:t>
      </w:r>
      <w:proofErr w:type="gramEnd"/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83BD5" w:rsidRDefault="007F6151" w:rsidP="0008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380FF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>, сформированные планы закупок и уведомляют об этом главного распорядителя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 бюджета Даниловского муниципального района Ярославской области</w:t>
      </w:r>
      <w:r w:rsidR="00083BD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B3677F" w:rsidRPr="00F77D34" w:rsidRDefault="007F6151" w:rsidP="00F54EF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юджетные учреждения, указанные в </w:t>
      </w:r>
      <w:hyperlink w:anchor="Par48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eastAsia="Times New Roman" w:hAnsi="Times New Roman"/>
            <w:sz w:val="28"/>
            <w:szCs w:val="28"/>
          </w:rPr>
          <w:t>5</w:t>
        </w:r>
        <w:r w:rsidR="00A17D52" w:rsidRPr="00F77D34">
          <w:rPr>
            <w:rFonts w:ascii="Times New Roman" w:eastAsia="Times New Roman" w:hAnsi="Times New Roman"/>
            <w:sz w:val="28"/>
            <w:szCs w:val="28"/>
          </w:rPr>
          <w:t>.</w:t>
        </w:r>
        <w:r w:rsidR="006A63A9">
          <w:rPr>
            <w:rFonts w:ascii="Times New Roman" w:eastAsia="Times New Roman" w:hAnsi="Times New Roman"/>
            <w:sz w:val="28"/>
            <w:szCs w:val="28"/>
          </w:rPr>
          <w:t>2</w:t>
        </w:r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 пункта </w:t>
        </w:r>
      </w:hyperlink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Порядка, в сроки, установленные органами, осуществляющими функции и полномочия их учредителя, но не позднее срок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, ус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 xml:space="preserve">тановленного в пункте </w:t>
      </w:r>
      <w:r>
        <w:rPr>
          <w:rFonts w:ascii="Times New Roman" w:eastAsia="Times New Roman" w:hAnsi="Times New Roman"/>
          <w:sz w:val="28"/>
          <w:szCs w:val="28"/>
        </w:rPr>
        <w:t>6.1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 xml:space="preserve"> Порядка:</w:t>
      </w:r>
    </w:p>
    <w:p w:rsidR="00380FFC" w:rsidRDefault="00380FFC" w:rsidP="00380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380FFC" w:rsidRDefault="00380FFC" w:rsidP="00380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380FFC" w:rsidRDefault="00380FFC" w:rsidP="00380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5 Порядка, сформированные планы закупок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уведомляют об этом орган, осуществляющий функции и полномочия их учредителя;</w:t>
      </w:r>
    </w:p>
    <w:p w:rsidR="00B3677F" w:rsidRPr="00F77D34" w:rsidRDefault="00380FFC" w:rsidP="00B367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.3. </w:t>
      </w:r>
      <w:r w:rsidR="006A63A9">
        <w:rPr>
          <w:rFonts w:ascii="Times New Roman" w:eastAsia="Times New Roman" w:hAnsi="Times New Roman"/>
          <w:sz w:val="28"/>
          <w:szCs w:val="28"/>
        </w:rPr>
        <w:t>ю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ридические лица, указанные в </w:t>
      </w:r>
      <w:hyperlink w:anchor="Par49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eastAsia="Times New Roman" w:hAnsi="Times New Roman"/>
            <w:sz w:val="28"/>
            <w:szCs w:val="28"/>
          </w:rPr>
          <w:t>5</w:t>
        </w:r>
        <w:r w:rsidR="00A17D52" w:rsidRPr="00F77D34">
          <w:rPr>
            <w:rFonts w:ascii="Times New Roman" w:eastAsia="Times New Roman" w:hAnsi="Times New Roman"/>
            <w:sz w:val="28"/>
            <w:szCs w:val="28"/>
          </w:rPr>
          <w:t>.</w:t>
        </w:r>
        <w:r w:rsidR="006A63A9">
          <w:rPr>
            <w:rFonts w:ascii="Times New Roman" w:eastAsia="Times New Roman" w:hAnsi="Times New Roman"/>
            <w:sz w:val="28"/>
            <w:szCs w:val="28"/>
          </w:rPr>
          <w:t>3</w:t>
        </w:r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 пункта </w:t>
        </w:r>
      </w:hyperlink>
      <w:r w:rsidR="006A63A9">
        <w:rPr>
          <w:rFonts w:ascii="Times New Roman" w:eastAsia="Times New Roman" w:hAnsi="Times New Roman"/>
          <w:sz w:val="28"/>
          <w:szCs w:val="28"/>
        </w:rPr>
        <w:t>5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 xml:space="preserve"> Порядка:</w:t>
      </w:r>
    </w:p>
    <w:p w:rsidR="006A63A9" w:rsidRDefault="006A63A9" w:rsidP="006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формируют планы закупок в сроки, установленные главными распорядителями средств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C559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Даниловского муниципального района Ярославской области, не позднее сроков, установленных органами местного самоуправления</w:t>
      </w:r>
      <w:r w:rsidR="00C55945" w:rsidRPr="00C55945">
        <w:rPr>
          <w:rFonts w:ascii="Times New Roman" w:eastAsia="Times New Roman" w:hAnsi="Times New Roman"/>
          <w:sz w:val="28"/>
          <w:szCs w:val="28"/>
        </w:rPr>
        <w:t xml:space="preserve">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Даниловского муниципального района, после принятия решений (согласования проектов решений) о предоставлении субсидий на осуществление капитальных вложений;</w:t>
      </w:r>
    </w:p>
    <w:p w:rsidR="006A63A9" w:rsidRDefault="006A63A9" w:rsidP="006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5 Порядка;</w:t>
      </w:r>
    </w:p>
    <w:p w:rsidR="00B3677F" w:rsidRPr="00F77D34" w:rsidRDefault="002A6E45" w:rsidP="00B367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.4. 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ридические лица, указанные в </w:t>
      </w:r>
      <w:hyperlink w:anchor="Par50" w:history="1">
        <w:r>
          <w:rPr>
            <w:rFonts w:ascii="Times New Roman" w:eastAsia="Times New Roman" w:hAnsi="Times New Roman"/>
            <w:sz w:val="28"/>
            <w:szCs w:val="28"/>
          </w:rPr>
          <w:t>подпункте 5</w:t>
        </w:r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.4 пункта </w:t>
        </w:r>
      </w:hyperlink>
      <w:r>
        <w:rPr>
          <w:rFonts w:ascii="Times New Roman" w:eastAsia="Times New Roman" w:hAnsi="Times New Roman"/>
          <w:sz w:val="28"/>
          <w:szCs w:val="28"/>
        </w:rPr>
        <w:t>5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Порядка</w:t>
      </w:r>
      <w:r w:rsidR="00B3677F" w:rsidRPr="00F77D34">
        <w:rPr>
          <w:rFonts w:ascii="Times New Roman" w:eastAsia="Times New Roman" w:hAnsi="Times New Roman"/>
          <w:sz w:val="28"/>
          <w:szCs w:val="28"/>
        </w:rPr>
        <w:t>:</w:t>
      </w:r>
    </w:p>
    <w:p w:rsidR="002A6E45" w:rsidRDefault="002A6E45" w:rsidP="002A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формируют планы закупок в сроки, установленные главными распорядителями </w:t>
      </w:r>
      <w:r w:rsidR="00324079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C559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Даниловского муниципального района Ярославской области, не позднее сроков, </w:t>
      </w:r>
      <w:r w:rsidR="0086497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органами местного самоуправления</w:t>
      </w:r>
      <w:r w:rsidR="00C55945" w:rsidRPr="00C55945">
        <w:rPr>
          <w:rFonts w:ascii="Times New Roman" w:eastAsia="Times New Roman" w:hAnsi="Times New Roman"/>
          <w:sz w:val="28"/>
          <w:szCs w:val="28"/>
        </w:rPr>
        <w:t xml:space="preserve"> </w:t>
      </w:r>
      <w:r w:rsidR="00C55945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Даниловского муниципального района, после принятия решений (согласования проектов решений) о предоставлении субсидий на осуществление капитальных вложений;</w:t>
      </w:r>
    </w:p>
    <w:p w:rsidR="002A6E45" w:rsidRDefault="002A6E45" w:rsidP="002A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5 Положения.</w:t>
      </w:r>
    </w:p>
    <w:p w:rsidR="002A6E45" w:rsidRDefault="002A6E45" w:rsidP="002A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</w:t>
      </w:r>
      <w:r w:rsidR="0028018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Утвержденные планы закупок размещаются лицами, указанными в пункте 6 данного раздела Порядка, в единой информационной системе в течение 3-х рабочих дней со дня утверждения или изменения планов закупок, за исключением сведений, составляющих государственную тайну.  </w:t>
      </w:r>
    </w:p>
    <w:p w:rsidR="00A94FFB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указанные в пункте 5 Положения, ведут планы закупок в соответствии с положениями Федерального закона о контрактной системе </w:t>
      </w:r>
      <w:r w:rsidR="00324079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44-ФЗ от 05.04.2013 года и постановлением Правительства Российской Федерации от 21 ноября 2013 года</w:t>
      </w:r>
      <w:r w:rsidR="00C47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требованиях к форме планов</w:t>
      </w:r>
      <w:proofErr w:type="gramEnd"/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 товаров, работ, услуг».</w:t>
      </w:r>
    </w:p>
    <w:p w:rsidR="00280182" w:rsidRDefault="00A94FFB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8.1.</w:t>
      </w:r>
      <w:r w:rsidR="00280182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Основаниями для внесения изменений в утвержденные планы закупок в случае необходимости являются: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статьи 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о контрактной системе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установленных в соответствии со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статьей 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о контрактной системе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требований к закупаемым товарам, работам, услугам (в том числе предельной цены товаров, работ, услуг) и нормативных затрат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обеспечение функций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A94FFB" w:rsidRP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и подведомственных им</w:t>
      </w:r>
      <w:proofErr w:type="gramEnd"/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 казенных учреждений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приведение планов закупок в соответствие с законами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законы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бюджетах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(текущий финансовый год и плановый период),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Решение о бюджете</w:t>
      </w:r>
      <w:r w:rsidR="00A274EA" w:rsidRPr="00A274EA">
        <w:rPr>
          <w:rFonts w:ascii="Times New Roman" w:eastAsia="Times New Roman" w:hAnsi="Times New Roman"/>
          <w:sz w:val="28"/>
          <w:szCs w:val="28"/>
        </w:rPr>
        <w:t xml:space="preserve"> </w:t>
      </w:r>
      <w:r w:rsidR="00A274EA">
        <w:rPr>
          <w:rFonts w:ascii="Times New Roman" w:eastAsia="Times New Roman" w:hAnsi="Times New Roman"/>
          <w:sz w:val="28"/>
          <w:szCs w:val="28"/>
        </w:rPr>
        <w:t>Даниловского сельского поселения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 Даниловского муниципального района Ярославской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(текущий финансовый год и плановый период);</w:t>
      </w:r>
      <w:proofErr w:type="gramEnd"/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е) выдача предписания органами контроля, определенными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99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службе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том числе об аннулировании процедуры определения поставщиков (подрядчиков, исполнителей);</w:t>
      </w:r>
    </w:p>
    <w:p w:rsidR="005339F4" w:rsidRDefault="005339F4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Pr="005339F4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случаи, установленные высшим исполнительным органом государственной власти субъекта Российской Федерации, администрацией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Даниловского </w:t>
      </w:r>
      <w:r w:rsidRPr="005339F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Ярославской области</w:t>
      </w:r>
      <w:r w:rsidRPr="005339F4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порядке формирования, утверждения и ведения планов закупок.</w:t>
      </w:r>
    </w:p>
    <w:p w:rsidR="00280182" w:rsidRDefault="00280182" w:rsidP="00280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r w:rsidR="00A94FFB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80182" w:rsidRDefault="00280182" w:rsidP="002D6C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Формирование, утверждение и ведение планов закупок юридическими лицами, указанными в </w:t>
      </w:r>
      <w:r w:rsidR="00E7688B">
        <w:rPr>
          <w:rFonts w:ascii="Times New Roman" w:eastAsiaTheme="minorHAnsi" w:hAnsi="Times New Roman"/>
          <w:sz w:val="28"/>
          <w:szCs w:val="28"/>
          <w:lang w:eastAsia="en-US"/>
        </w:rPr>
        <w:t>подпункте 5.4 пункта 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688B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осуществляются от лица соответствующих органов местного самоуправления, передавших этим лицам полномочия </w:t>
      </w:r>
      <w:r w:rsidR="00E7688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заказчика.</w:t>
      </w:r>
    </w:p>
    <w:p w:rsidR="00A17D52" w:rsidRPr="00F77D34" w:rsidRDefault="00A17D5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7688B" w:rsidRDefault="00E7688B" w:rsidP="00E7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ТРЕБОВАНИЯ К ФОРМЕ ПЛАНОВ ЗАКУПОК ТОВАРОВ, РАБОТ, УСЛУГ</w:t>
      </w:r>
    </w:p>
    <w:p w:rsidR="00E7688B" w:rsidRDefault="00E7688B" w:rsidP="00E7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688B" w:rsidRPr="005339F4" w:rsidRDefault="005339F4" w:rsidP="0053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E7688B" w:rsidRPr="005339F4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закупок товаров, работ, услуг для обеспечения муниципальных нужд (далее - закупки) представляет собой единый документ, на основании </w:t>
      </w:r>
      <w:r w:rsidR="00E7688B" w:rsidRPr="005339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статьи 17 Федерального закона о контрактной системе </w:t>
      </w:r>
      <w:r w:rsidR="00324079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E7688B" w:rsidRPr="005339F4">
        <w:rPr>
          <w:rFonts w:ascii="Times New Roman" w:eastAsiaTheme="minorHAnsi" w:hAnsi="Times New Roman"/>
          <w:sz w:val="28"/>
          <w:szCs w:val="28"/>
          <w:lang w:eastAsia="en-US"/>
        </w:rPr>
        <w:t>44-ФЗ от 05 апреля 2013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постановлением Правительства Российской Федерации </w:t>
      </w:r>
      <w:r w:rsidR="00324079">
        <w:rPr>
          <w:rFonts w:ascii="Times New Roman" w:eastAsiaTheme="minorHAnsi" w:hAnsi="Times New Roman"/>
          <w:sz w:val="28"/>
          <w:szCs w:val="28"/>
          <w:lang w:eastAsia="en-US"/>
        </w:rPr>
        <w:t>от 21 ноября 2013 года № 1043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нужд, а также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форме планов закупок товаров, работ, услуг».</w:t>
      </w:r>
    </w:p>
    <w:p w:rsidR="002D6C10" w:rsidRDefault="005339F4" w:rsidP="00533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5339F4">
        <w:rPr>
          <w:rFonts w:ascii="Times New Roman" w:eastAsiaTheme="minorHAnsi" w:hAnsi="Times New Roman"/>
          <w:sz w:val="28"/>
          <w:szCs w:val="28"/>
          <w:lang w:eastAsia="en-US"/>
        </w:rPr>
        <w:t>Планы закупок для муниципальных нужд формируются по форме согласно приложению 1 к настоящему Порядку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D6C10" w:rsidRDefault="002D6C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планы закупок включаются: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идентификационный номер налогоплательщика;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код причины постановки на учет;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код по Общероссийскому классификатору территорий муниципальных образований, идентифицирующий: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субъект Российской Федерации (первый и второй знаки кода) - в отношении плана закупок для обеспечения нужд субъекта Российской Федерации;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 - в отношении плана закупок для обеспечения муниципальных нужд;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код по Общероссийскому классификатору предприятий и организаций;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е) код по Общероссийскому </w:t>
      </w:r>
      <w:hyperlink r:id="rId8" w:history="1">
        <w:r w:rsidRPr="006E084B">
          <w:rPr>
            <w:rFonts w:ascii="Times New Roman" w:eastAsiaTheme="minorHAnsi" w:hAnsi="Times New Roman"/>
            <w:sz w:val="28"/>
            <w:szCs w:val="28"/>
            <w:lang w:eastAsia="en-US"/>
          </w:rPr>
          <w:t>классификатору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организационно-правовых форм;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ж) 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государственным органом субъекта Российской Федерации, органом 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классификатору территорий муниципальных образований,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идентифицирующего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субъект 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Федерации, государственное унитарное предприятие субъекта Российской Федерации;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з) таблицу,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включающую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следующую информацию с учетом особенностей, предусмотренных </w:t>
      </w:r>
      <w:hyperlink w:anchor="Par23" w:history="1">
        <w:r w:rsidRPr="006E084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3 настоящего документа: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идентификационный код закупки, сформированный в соответствии со </w:t>
      </w:r>
      <w:hyperlink r:id="rId9" w:history="1">
        <w:r w:rsidRPr="006E084B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контрактной системе в сфере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товаров, работ, услуг для обеспечения государственных и муниципальных нужд";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цель осуществления закупок в соответствии со </w:t>
      </w:r>
      <w:hyperlink r:id="rId10" w:history="1">
        <w:r w:rsidRPr="006E084B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C47389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этом в план закупок включается наименование мероприятия государственной программы субъекта Российской Федерации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с указанием соответствующего ожидаемого результата реализации такого мероприятия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не предусмотренной указанными программами, 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наименование международного договора Российской Федерации, затрагивающего полномочия субъекта Российской Федерации;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 объекта и (или) объектов закупок;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 (периодичность) осуществления планируемых закупок.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обязательном общественном обсуждении закупок (да или нет) в соответствии со </w:t>
      </w:r>
      <w:hyperlink r:id="rId11" w:history="1">
        <w:r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20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дата, содержание и обоснование вносимых в план закупок изменений;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2" w:history="1">
        <w:r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18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E084B" w:rsidRDefault="0093322A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23"/>
      <w:bookmarkEnd w:id="4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закупках, которые планируется осуществлять в соответствии с </w:t>
      </w:r>
      <w:hyperlink r:id="rId13" w:history="1">
        <w:r w:rsidR="006E084B"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 части 2 статьи 83</w:t>
        </w:r>
      </w:hyperlink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4" w:history="1">
        <w:r w:rsidR="006E084B"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" w:history="1">
        <w:r w:rsidR="006E084B"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" w:history="1">
        <w:r w:rsidR="006E084B"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26</w:t>
        </w:r>
      </w:hyperlink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7" w:history="1">
        <w:r w:rsidR="006E084B"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33 части 1 статьи 93</w:t>
        </w:r>
      </w:hyperlink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>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</w:t>
      </w:r>
      <w:proofErr w:type="gramEnd"/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закупок: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лекарственные препараты;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18" w:history="1">
        <w:r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части 1 статьи 93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19" w:history="1">
        <w:r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5 части 1 статьи 93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0" w:history="1">
        <w:r w:rsidRPr="0093322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26 части 1 статьи 93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016412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преподавательские услуги, оказываемые физическими лицами;</w:t>
      </w:r>
    </w:p>
    <w:p w:rsidR="006E084B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услуги экскурсовода (гида), оказываемые физическими лицами.</w:t>
      </w:r>
    </w:p>
    <w:p w:rsidR="006E084B" w:rsidRDefault="0093322A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>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292F31" w:rsidRDefault="00292F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92F31" w:rsidSect="006777F7">
          <w:pgSz w:w="11906" w:h="16838"/>
          <w:pgMar w:top="851" w:right="851" w:bottom="851" w:left="1701" w:header="0" w:footer="0" w:gutter="0"/>
          <w:pgNumType w:start="3"/>
          <w:cols w:space="720"/>
          <w:noEndnote/>
        </w:sectPr>
      </w:pP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lastRenderedPageBreak/>
        <w:t xml:space="preserve">Приложение 1 </w:t>
      </w: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 xml:space="preserve">к Порядку формирования, утверждения </w:t>
      </w: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 xml:space="preserve">и ведения планов закупок товаров, работ, услуг </w:t>
      </w: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 xml:space="preserve">для обеспечения муниципальных нужд </w:t>
      </w:r>
      <w:proofErr w:type="gramStart"/>
      <w:r w:rsidRPr="00404D09">
        <w:rPr>
          <w:color w:val="auto"/>
          <w:sz w:val="20"/>
          <w:szCs w:val="20"/>
        </w:rPr>
        <w:t>в</w:t>
      </w:r>
      <w:proofErr w:type="gramEnd"/>
      <w:r w:rsidRPr="00404D09">
        <w:rPr>
          <w:color w:val="auto"/>
          <w:sz w:val="20"/>
          <w:szCs w:val="20"/>
        </w:rPr>
        <w:t xml:space="preserve"> </w:t>
      </w:r>
    </w:p>
    <w:p w:rsidR="002D6C10" w:rsidRPr="00404D09" w:rsidRDefault="005339F4" w:rsidP="005339F4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04D09">
        <w:rPr>
          <w:rFonts w:ascii="Times New Roman" w:eastAsiaTheme="minorHAnsi" w:hAnsi="Times New Roman" w:cs="Times New Roman"/>
          <w:lang w:eastAsia="en-US"/>
        </w:rPr>
        <w:t>Даниловском</w:t>
      </w:r>
      <w:proofErr w:type="gramEnd"/>
      <w:r w:rsidRPr="00404D09">
        <w:rPr>
          <w:rFonts w:ascii="Times New Roman" w:eastAsiaTheme="minorHAnsi" w:hAnsi="Times New Roman" w:cs="Times New Roman"/>
          <w:lang w:eastAsia="en-US"/>
        </w:rPr>
        <w:t xml:space="preserve"> муниципальном районе</w:t>
      </w:r>
    </w:p>
    <w:p w:rsidR="005339F4" w:rsidRPr="00404D09" w:rsidRDefault="005339F4" w:rsidP="005339F4">
      <w:pPr>
        <w:pStyle w:val="Default"/>
        <w:jc w:val="center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>Форма плана закупок товаров, работ, услуг для обеспечения муниципальных нужд</w:t>
      </w:r>
    </w:p>
    <w:p w:rsidR="005339F4" w:rsidRDefault="005339F4" w:rsidP="005339F4">
      <w:pPr>
        <w:pStyle w:val="Default"/>
        <w:jc w:val="center"/>
        <w:rPr>
          <w:color w:val="auto"/>
        </w:rPr>
      </w:pPr>
      <w:r w:rsidRPr="00404D09">
        <w:rPr>
          <w:color w:val="auto"/>
          <w:sz w:val="20"/>
          <w:szCs w:val="20"/>
        </w:rPr>
        <w:t>на 20__ финансовый год и плановый период 20__ и 20__ годов</w:t>
      </w:r>
    </w:p>
    <w:tbl>
      <w:tblPr>
        <w:tblStyle w:val="a9"/>
        <w:tblW w:w="0" w:type="auto"/>
        <w:tblLook w:val="04A0"/>
      </w:tblPr>
      <w:tblGrid>
        <w:gridCol w:w="5778"/>
        <w:gridCol w:w="6379"/>
        <w:gridCol w:w="1843"/>
        <w:gridCol w:w="1352"/>
      </w:tblGrid>
      <w:tr w:rsidR="0093121E" w:rsidRPr="00874262" w:rsidTr="0016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121E" w:rsidRPr="00874262" w:rsidRDefault="0093121E" w:rsidP="009312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352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Коды</w:t>
            </w:r>
          </w:p>
        </w:tc>
      </w:tr>
      <w:tr w:rsidR="0093121E" w:rsidRPr="00874262" w:rsidTr="00165802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  <w:tcBorders>
              <w:top w:val="single" w:sz="4" w:space="0" w:color="auto"/>
            </w:tcBorders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Полное наименование муниципального заказчика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ОКИО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Местонахождение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1658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Телефон,  адрес электронной почты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КПП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1658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ОКОПФ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ОКТМО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 по Общероссийскому классификатору территорий муниципальных образований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изменения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339F4" w:rsidRDefault="005339F4" w:rsidP="005339F4">
      <w:pPr>
        <w:pStyle w:val="Default"/>
        <w:jc w:val="both"/>
        <w:rPr>
          <w:color w:val="auto"/>
        </w:rPr>
      </w:pPr>
    </w:p>
    <w:tbl>
      <w:tblPr>
        <w:tblStyle w:val="a9"/>
        <w:tblW w:w="16019" w:type="dxa"/>
        <w:tblInd w:w="-176" w:type="dxa"/>
        <w:tblLayout w:type="fixed"/>
        <w:tblLook w:val="04A0"/>
      </w:tblPr>
      <w:tblGrid>
        <w:gridCol w:w="425"/>
        <w:gridCol w:w="850"/>
        <w:gridCol w:w="991"/>
        <w:gridCol w:w="1137"/>
        <w:gridCol w:w="1134"/>
        <w:gridCol w:w="1276"/>
        <w:gridCol w:w="708"/>
        <w:gridCol w:w="709"/>
        <w:gridCol w:w="567"/>
        <w:gridCol w:w="709"/>
        <w:gridCol w:w="709"/>
        <w:gridCol w:w="708"/>
        <w:gridCol w:w="567"/>
        <w:gridCol w:w="709"/>
        <w:gridCol w:w="709"/>
        <w:gridCol w:w="567"/>
        <w:gridCol w:w="709"/>
        <w:gridCol w:w="708"/>
        <w:gridCol w:w="851"/>
        <w:gridCol w:w="709"/>
        <w:gridCol w:w="567"/>
      </w:tblGrid>
      <w:tr w:rsidR="00404D09" w:rsidRPr="00165802" w:rsidTr="00404D09">
        <w:trPr>
          <w:trHeight w:val="530"/>
        </w:trPr>
        <w:tc>
          <w:tcPr>
            <w:tcW w:w="425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65802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6580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65802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</w:tcPr>
          <w:p w:rsidR="00EA409F" w:rsidRPr="00165802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Идентификационный код закупки (в соответствии со статьей 23 ФЗ-44)</w:t>
            </w:r>
            <w:r w:rsidR="006E084B">
              <w:rPr>
                <w:color w:val="auto"/>
                <w:sz w:val="18"/>
                <w:szCs w:val="18"/>
              </w:rPr>
              <w:t>**</w:t>
            </w:r>
          </w:p>
        </w:tc>
        <w:tc>
          <w:tcPr>
            <w:tcW w:w="2128" w:type="dxa"/>
            <w:gridSpan w:val="2"/>
            <w:vMerge w:val="restart"/>
          </w:tcPr>
          <w:p w:rsidR="00EA409F" w:rsidRPr="00165802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Цель осуществления закупки (в соответствии со статьей 13 ФЗ-44)</w:t>
            </w:r>
          </w:p>
        </w:tc>
        <w:tc>
          <w:tcPr>
            <w:tcW w:w="1134" w:type="dxa"/>
            <w:vMerge w:val="restart"/>
          </w:tcPr>
          <w:p w:rsidR="00EA409F" w:rsidRPr="00165802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Планируемый год размещения извещения или направления приглашения принять участие в определении поставщика (подрядчика, исполнителя), либо заключение контракта с единственным поставщиком (подрядчиком, исполнителем),  </w:t>
            </w:r>
          </w:p>
        </w:tc>
        <w:tc>
          <w:tcPr>
            <w:tcW w:w="3402" w:type="dxa"/>
            <w:gridSpan w:val="5"/>
          </w:tcPr>
          <w:p w:rsidR="00404D09" w:rsidRDefault="00EA409F" w:rsidP="00AB62C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Объем финансового обеспечения  </w:t>
            </w:r>
          </w:p>
          <w:p w:rsidR="00EA409F" w:rsidRPr="00165802" w:rsidRDefault="00EA409F" w:rsidP="002D0E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(тыс.</w:t>
            </w:r>
            <w:r w:rsidR="002D0E9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руб.)</w:t>
            </w:r>
          </w:p>
        </w:tc>
        <w:tc>
          <w:tcPr>
            <w:tcW w:w="708" w:type="dxa"/>
            <w:vMerge w:val="restart"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Единица измерения объекта закупки</w:t>
            </w:r>
          </w:p>
        </w:tc>
        <w:tc>
          <w:tcPr>
            <w:tcW w:w="3261" w:type="dxa"/>
            <w:gridSpan w:val="5"/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(объем) планируемых к закупке товаров, работ, услуг</w:t>
            </w:r>
          </w:p>
        </w:tc>
        <w:tc>
          <w:tcPr>
            <w:tcW w:w="708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851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Дополнительная информация в соответствии с пунктом 7 части 2 статьи 17 ФЗ-44</w:t>
            </w:r>
          </w:p>
        </w:tc>
        <w:tc>
          <w:tcPr>
            <w:tcW w:w="709" w:type="dxa"/>
            <w:vMerge w:val="restart"/>
          </w:tcPr>
          <w:p w:rsidR="00EA409F" w:rsidRPr="00EA409F" w:rsidRDefault="00EA409F" w:rsidP="00EA409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</w:t>
            </w:r>
            <w:r w:rsidRPr="00EA409F">
              <w:rPr>
                <w:color w:val="auto"/>
                <w:sz w:val="18"/>
                <w:szCs w:val="18"/>
              </w:rPr>
              <w:t xml:space="preserve">формация о проведении общественного </w:t>
            </w:r>
            <w:r>
              <w:rPr>
                <w:color w:val="auto"/>
                <w:sz w:val="18"/>
                <w:szCs w:val="18"/>
              </w:rPr>
              <w:t xml:space="preserve"> обсуждения закупки (да/нет)</w:t>
            </w:r>
            <w:r w:rsidR="00292F31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292F31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="00292F31">
              <w:rPr>
                <w:color w:val="auto"/>
                <w:sz w:val="18"/>
                <w:szCs w:val="18"/>
              </w:rPr>
              <w:t>в соответствии со статьей 20 44-ФЗ)</w:t>
            </w:r>
          </w:p>
        </w:tc>
        <w:tc>
          <w:tcPr>
            <w:tcW w:w="567" w:type="dxa"/>
            <w:vMerge w:val="restart"/>
          </w:tcPr>
          <w:p w:rsidR="00EA409F" w:rsidRPr="00165802" w:rsidRDefault="00EA409F" w:rsidP="00EA409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Обоснования внесения изменений</w:t>
            </w:r>
          </w:p>
        </w:tc>
      </w:tr>
      <w:tr w:rsidR="00404D09" w:rsidRPr="00165802" w:rsidTr="00404D09">
        <w:trPr>
          <w:trHeight w:val="351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том числе</w:t>
            </w:r>
          </w:p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планируемые платежи</w:t>
            </w:r>
          </w:p>
        </w:tc>
        <w:tc>
          <w:tcPr>
            <w:tcW w:w="708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right w:val="nil"/>
            </w:tcBorders>
          </w:tcPr>
          <w:p w:rsidR="00EA409F" w:rsidRPr="00165802" w:rsidRDefault="00EA409F" w:rsidP="0087426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0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наименование  мероприятия муниципальной программы, либо непрограммные направления деятельности (функции, полномочия</w:t>
            </w:r>
            <w:proofErr w:type="gramEnd"/>
          </w:p>
        </w:tc>
        <w:tc>
          <w:tcPr>
            <w:tcW w:w="1137" w:type="dxa"/>
            <w:vMerge w:val="restart"/>
          </w:tcPr>
          <w:p w:rsidR="00EA409F" w:rsidRPr="00165802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Ожидаемый результат реализации мероприятия муниципальной программы</w:t>
            </w:r>
            <w:r w:rsidR="006E084B">
              <w:rPr>
                <w:color w:val="auto"/>
                <w:sz w:val="18"/>
                <w:szCs w:val="18"/>
              </w:rPr>
              <w:t xml:space="preserve">  ***</w:t>
            </w: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nil"/>
            </w:tcBorders>
          </w:tcPr>
          <w:p w:rsidR="00EA409F" w:rsidRDefault="00EA409F" w:rsidP="0087426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68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последующие годы</w:t>
            </w: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последующие годы</w:t>
            </w: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0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52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первый год</w:t>
            </w:r>
          </w:p>
        </w:tc>
        <w:tc>
          <w:tcPr>
            <w:tcW w:w="709" w:type="dxa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20"/>
        </w:trPr>
        <w:tc>
          <w:tcPr>
            <w:tcW w:w="425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</w:tr>
      <w:tr w:rsidR="00404D09" w:rsidRPr="00165802" w:rsidTr="00404D09">
        <w:trPr>
          <w:trHeight w:val="124"/>
        </w:trPr>
        <w:tc>
          <w:tcPr>
            <w:tcW w:w="425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04D09" w:rsidRDefault="00404D09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4D09" w:rsidRDefault="00404D09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124"/>
        </w:trPr>
        <w:tc>
          <w:tcPr>
            <w:tcW w:w="425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04D09" w:rsidRDefault="00404D09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4D09" w:rsidRDefault="00404D09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203F" w:rsidRPr="00165802" w:rsidTr="00C8493D">
        <w:trPr>
          <w:trHeight w:val="124"/>
        </w:trPr>
        <w:tc>
          <w:tcPr>
            <w:tcW w:w="5813" w:type="dxa"/>
            <w:gridSpan w:val="6"/>
          </w:tcPr>
          <w:p w:rsidR="0040203F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708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</w:tr>
      <w:tr w:rsidR="00292F31" w:rsidRPr="00165802" w:rsidTr="00A371C1">
        <w:trPr>
          <w:trHeight w:val="124"/>
        </w:trPr>
        <w:tc>
          <w:tcPr>
            <w:tcW w:w="5813" w:type="dxa"/>
            <w:gridSpan w:val="6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Итого объем финансового обеспечения, предусмотренного на заключение контрактов </w:t>
            </w:r>
          </w:p>
        </w:tc>
        <w:tc>
          <w:tcPr>
            <w:tcW w:w="708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165802" w:rsidRPr="00292F31" w:rsidRDefault="00292F31" w:rsidP="005339F4">
      <w:pPr>
        <w:pStyle w:val="Default"/>
        <w:jc w:val="both"/>
        <w:rPr>
          <w:color w:val="auto"/>
          <w:sz w:val="20"/>
          <w:szCs w:val="20"/>
        </w:rPr>
      </w:pPr>
      <w:r w:rsidRPr="00292F31">
        <w:rPr>
          <w:color w:val="auto"/>
          <w:sz w:val="20"/>
          <w:szCs w:val="20"/>
        </w:rPr>
        <w:t xml:space="preserve">__________________________              </w:t>
      </w:r>
      <w:r>
        <w:rPr>
          <w:color w:val="auto"/>
          <w:sz w:val="20"/>
          <w:szCs w:val="20"/>
        </w:rPr>
        <w:t xml:space="preserve">             </w:t>
      </w:r>
      <w:r w:rsidRPr="00292F31">
        <w:rPr>
          <w:color w:val="auto"/>
          <w:sz w:val="20"/>
          <w:szCs w:val="20"/>
        </w:rPr>
        <w:t xml:space="preserve">    ____________ </w:t>
      </w:r>
      <w:r>
        <w:rPr>
          <w:color w:val="auto"/>
          <w:sz w:val="20"/>
          <w:szCs w:val="20"/>
        </w:rPr>
        <w:t xml:space="preserve">        </w:t>
      </w:r>
      <w:r w:rsidRPr="00292F31">
        <w:rPr>
          <w:color w:val="auto"/>
          <w:sz w:val="20"/>
          <w:szCs w:val="20"/>
        </w:rPr>
        <w:t xml:space="preserve">  «__» ________ 20__г</w:t>
      </w:r>
    </w:p>
    <w:p w:rsidR="00292F31" w:rsidRDefault="00292F31" w:rsidP="005339F4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292F31">
        <w:rPr>
          <w:color w:val="auto"/>
          <w:sz w:val="18"/>
          <w:szCs w:val="18"/>
        </w:rPr>
        <w:t>(Ф.И.О., должность руководителя</w:t>
      </w:r>
      <w:r>
        <w:rPr>
          <w:color w:val="auto"/>
          <w:sz w:val="18"/>
          <w:szCs w:val="18"/>
        </w:rPr>
        <w:t xml:space="preserve">                                         (подпись)</w:t>
      </w:r>
      <w:proofErr w:type="gramEnd"/>
    </w:p>
    <w:p w:rsidR="00292F31" w:rsidRDefault="00292F31" w:rsidP="005339F4">
      <w:pPr>
        <w:pStyle w:val="Default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Уполномоченного должностного лица заказчика)</w:t>
      </w:r>
      <w:proofErr w:type="gramEnd"/>
    </w:p>
    <w:p w:rsidR="00292F31" w:rsidRDefault="00292F31" w:rsidP="005339F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М.П.</w:t>
      </w:r>
    </w:p>
    <w:p w:rsidR="00292F31" w:rsidRDefault="00292F31" w:rsidP="0029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&lt;**&gt; До 1 января 2017 г.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>классификатора (</w:t>
      </w:r>
      <w:r w:rsidR="006E084B" w:rsidRPr="006E084B">
        <w:rPr>
          <w:rFonts w:ascii="Times New Roman" w:eastAsiaTheme="minorHAnsi" w:hAnsi="Times New Roman"/>
          <w:sz w:val="28"/>
          <w:szCs w:val="28"/>
          <w:lang w:eastAsia="en-US"/>
        </w:rPr>
        <w:t>ОБЩЕРОССИЙСКИЙ КЛАССИФИКАТОР ПРОДУКЦИИ ПО ВИДАМ ЭКОНОМИЧЕСКОЙ ДЕЯТЕЛЬНОСТИ ОК 034-2014 (КПЕС 2008)</w:t>
      </w:r>
      <w:proofErr w:type="gramStart"/>
      <w:r w:rsidR="006E084B" w:rsidRP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продукции по видам экономической деятельности, а при формир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овании и ведении плана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унитарного предприятия - на основе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 по видам экономической деятельности.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 1 января 2016 г. при формировании и ведении плана закупок бюджетного,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 по видам экономической деятельности, а с 1 января 2016 г. - на основе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продукции по видам экономической деятельности.</w:t>
      </w:r>
      <w:proofErr w:type="gramEnd"/>
    </w:p>
    <w:p w:rsidR="00292F31" w:rsidRDefault="00292F31" w:rsidP="0029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&lt;***&gt; Графа заполняется в случае, если планируемая закупка включена в муниципальную программу.</w:t>
      </w:r>
    </w:p>
    <w:p w:rsidR="00292F31" w:rsidRPr="00292F31" w:rsidRDefault="00292F31" w:rsidP="005339F4">
      <w:pPr>
        <w:pStyle w:val="Default"/>
        <w:jc w:val="both"/>
        <w:rPr>
          <w:color w:val="auto"/>
          <w:sz w:val="18"/>
          <w:szCs w:val="18"/>
        </w:rPr>
      </w:pPr>
    </w:p>
    <w:sectPr w:rsidR="00292F31" w:rsidRPr="00292F31" w:rsidSect="006777F7">
      <w:pgSz w:w="16838" w:h="11906" w:orient="landscape"/>
      <w:pgMar w:top="567" w:right="851" w:bottom="284" w:left="851" w:header="0" w:footer="0" w:gutter="0"/>
      <w:pgNumType w:start="3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1001"/>
    <w:multiLevelType w:val="hybridMultilevel"/>
    <w:tmpl w:val="149E3E8C"/>
    <w:lvl w:ilvl="0" w:tplc="DAD49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160"/>
    <w:multiLevelType w:val="multilevel"/>
    <w:tmpl w:val="44D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621"/>
    <w:multiLevelType w:val="multilevel"/>
    <w:tmpl w:val="A8600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F5438"/>
    <w:multiLevelType w:val="hybridMultilevel"/>
    <w:tmpl w:val="8E4EA9F0"/>
    <w:lvl w:ilvl="0" w:tplc="0D4A440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55"/>
    <w:rsid w:val="0001632B"/>
    <w:rsid w:val="00016412"/>
    <w:rsid w:val="00020DED"/>
    <w:rsid w:val="00025661"/>
    <w:rsid w:val="00025763"/>
    <w:rsid w:val="00025EE0"/>
    <w:rsid w:val="00043B52"/>
    <w:rsid w:val="00074D94"/>
    <w:rsid w:val="00083BD5"/>
    <w:rsid w:val="000B755B"/>
    <w:rsid w:val="000C0913"/>
    <w:rsid w:val="000E172A"/>
    <w:rsid w:val="000E7B19"/>
    <w:rsid w:val="000F1C7B"/>
    <w:rsid w:val="001006C1"/>
    <w:rsid w:val="0010346D"/>
    <w:rsid w:val="00103733"/>
    <w:rsid w:val="0010782C"/>
    <w:rsid w:val="001153C6"/>
    <w:rsid w:val="00123A02"/>
    <w:rsid w:val="00125228"/>
    <w:rsid w:val="001253DE"/>
    <w:rsid w:val="0012605F"/>
    <w:rsid w:val="001331AC"/>
    <w:rsid w:val="0013389F"/>
    <w:rsid w:val="00137031"/>
    <w:rsid w:val="001404BF"/>
    <w:rsid w:val="00160F6B"/>
    <w:rsid w:val="00165802"/>
    <w:rsid w:val="00180405"/>
    <w:rsid w:val="00181B1B"/>
    <w:rsid w:val="00185B24"/>
    <w:rsid w:val="0019136B"/>
    <w:rsid w:val="001918F8"/>
    <w:rsid w:val="001B35ED"/>
    <w:rsid w:val="001B3832"/>
    <w:rsid w:val="001B716B"/>
    <w:rsid w:val="001B7CCF"/>
    <w:rsid w:val="001C58C9"/>
    <w:rsid w:val="001D4A92"/>
    <w:rsid w:val="001E7CF2"/>
    <w:rsid w:val="001F0656"/>
    <w:rsid w:val="00200B47"/>
    <w:rsid w:val="00235F60"/>
    <w:rsid w:val="00243A71"/>
    <w:rsid w:val="00273AA3"/>
    <w:rsid w:val="002778F8"/>
    <w:rsid w:val="00280182"/>
    <w:rsid w:val="0029229B"/>
    <w:rsid w:val="00292F31"/>
    <w:rsid w:val="002A6E45"/>
    <w:rsid w:val="002B0EE4"/>
    <w:rsid w:val="002C3180"/>
    <w:rsid w:val="002D0E94"/>
    <w:rsid w:val="002D2407"/>
    <w:rsid w:val="002D6C10"/>
    <w:rsid w:val="002D7783"/>
    <w:rsid w:val="002E4C35"/>
    <w:rsid w:val="0030156F"/>
    <w:rsid w:val="00317E0F"/>
    <w:rsid w:val="00324079"/>
    <w:rsid w:val="00332944"/>
    <w:rsid w:val="00333995"/>
    <w:rsid w:val="00346197"/>
    <w:rsid w:val="00351898"/>
    <w:rsid w:val="00355655"/>
    <w:rsid w:val="00357A16"/>
    <w:rsid w:val="0036455C"/>
    <w:rsid w:val="00364EF1"/>
    <w:rsid w:val="0037174A"/>
    <w:rsid w:val="00373E6B"/>
    <w:rsid w:val="00375685"/>
    <w:rsid w:val="00380FFC"/>
    <w:rsid w:val="003818DB"/>
    <w:rsid w:val="003862ED"/>
    <w:rsid w:val="0039464E"/>
    <w:rsid w:val="003A3027"/>
    <w:rsid w:val="003A6D6C"/>
    <w:rsid w:val="003A7656"/>
    <w:rsid w:val="003B5423"/>
    <w:rsid w:val="003B7E72"/>
    <w:rsid w:val="003C4F3C"/>
    <w:rsid w:val="003D0673"/>
    <w:rsid w:val="003D4323"/>
    <w:rsid w:val="003D4998"/>
    <w:rsid w:val="003D77B1"/>
    <w:rsid w:val="003F4DB3"/>
    <w:rsid w:val="003F58C1"/>
    <w:rsid w:val="003F6E63"/>
    <w:rsid w:val="00401D03"/>
    <w:rsid w:val="0040203F"/>
    <w:rsid w:val="00404D09"/>
    <w:rsid w:val="00410200"/>
    <w:rsid w:val="00413C7D"/>
    <w:rsid w:val="004166D5"/>
    <w:rsid w:val="00423592"/>
    <w:rsid w:val="004326B3"/>
    <w:rsid w:val="004376D2"/>
    <w:rsid w:val="00445F1C"/>
    <w:rsid w:val="00451F8B"/>
    <w:rsid w:val="00466490"/>
    <w:rsid w:val="004668DF"/>
    <w:rsid w:val="00482E35"/>
    <w:rsid w:val="00485A7B"/>
    <w:rsid w:val="0049337B"/>
    <w:rsid w:val="0049766D"/>
    <w:rsid w:val="004A2B58"/>
    <w:rsid w:val="004B6F9C"/>
    <w:rsid w:val="004C14C3"/>
    <w:rsid w:val="004E43F7"/>
    <w:rsid w:val="004F78F6"/>
    <w:rsid w:val="005047E9"/>
    <w:rsid w:val="00514F2D"/>
    <w:rsid w:val="0052211C"/>
    <w:rsid w:val="005339F4"/>
    <w:rsid w:val="00536B33"/>
    <w:rsid w:val="00547C6D"/>
    <w:rsid w:val="00557A71"/>
    <w:rsid w:val="00562FC0"/>
    <w:rsid w:val="00571FD5"/>
    <w:rsid w:val="005926F2"/>
    <w:rsid w:val="005A4B4A"/>
    <w:rsid w:val="005B5C55"/>
    <w:rsid w:val="005B7081"/>
    <w:rsid w:val="005C1CC9"/>
    <w:rsid w:val="005C1D44"/>
    <w:rsid w:val="005C48FD"/>
    <w:rsid w:val="005C74AA"/>
    <w:rsid w:val="005D2EEF"/>
    <w:rsid w:val="005E0990"/>
    <w:rsid w:val="005E3174"/>
    <w:rsid w:val="005E6C42"/>
    <w:rsid w:val="005F55E5"/>
    <w:rsid w:val="005F797E"/>
    <w:rsid w:val="00625BE5"/>
    <w:rsid w:val="00644E92"/>
    <w:rsid w:val="00650794"/>
    <w:rsid w:val="006533B6"/>
    <w:rsid w:val="00671744"/>
    <w:rsid w:val="006777F7"/>
    <w:rsid w:val="00677CF1"/>
    <w:rsid w:val="006A2381"/>
    <w:rsid w:val="006A63A9"/>
    <w:rsid w:val="006C3597"/>
    <w:rsid w:val="006E084B"/>
    <w:rsid w:val="006E10F7"/>
    <w:rsid w:val="006E3AC2"/>
    <w:rsid w:val="00712450"/>
    <w:rsid w:val="00712943"/>
    <w:rsid w:val="007316E7"/>
    <w:rsid w:val="00735451"/>
    <w:rsid w:val="00742289"/>
    <w:rsid w:val="0074294E"/>
    <w:rsid w:val="007517DE"/>
    <w:rsid w:val="00752DC9"/>
    <w:rsid w:val="00755423"/>
    <w:rsid w:val="007673DD"/>
    <w:rsid w:val="00773B27"/>
    <w:rsid w:val="007837B0"/>
    <w:rsid w:val="00792BE6"/>
    <w:rsid w:val="007A5A6E"/>
    <w:rsid w:val="007D3D37"/>
    <w:rsid w:val="007D3F53"/>
    <w:rsid w:val="007E14F1"/>
    <w:rsid w:val="007F0165"/>
    <w:rsid w:val="007F6151"/>
    <w:rsid w:val="007F6CF2"/>
    <w:rsid w:val="0081024E"/>
    <w:rsid w:val="008126C1"/>
    <w:rsid w:val="008224AF"/>
    <w:rsid w:val="008319E4"/>
    <w:rsid w:val="00841B0E"/>
    <w:rsid w:val="0086019C"/>
    <w:rsid w:val="00864977"/>
    <w:rsid w:val="00874262"/>
    <w:rsid w:val="0087442F"/>
    <w:rsid w:val="00875B0B"/>
    <w:rsid w:val="00884547"/>
    <w:rsid w:val="0088728B"/>
    <w:rsid w:val="008B11A1"/>
    <w:rsid w:val="008C2555"/>
    <w:rsid w:val="008D2F4E"/>
    <w:rsid w:val="008E0383"/>
    <w:rsid w:val="008E486D"/>
    <w:rsid w:val="009021FE"/>
    <w:rsid w:val="00906819"/>
    <w:rsid w:val="00921CD8"/>
    <w:rsid w:val="0093121E"/>
    <w:rsid w:val="00932D17"/>
    <w:rsid w:val="0093322A"/>
    <w:rsid w:val="00937C72"/>
    <w:rsid w:val="0094108F"/>
    <w:rsid w:val="00951F70"/>
    <w:rsid w:val="00952E72"/>
    <w:rsid w:val="009800BA"/>
    <w:rsid w:val="00990862"/>
    <w:rsid w:val="00995DAE"/>
    <w:rsid w:val="009969FA"/>
    <w:rsid w:val="009A13E7"/>
    <w:rsid w:val="009A4450"/>
    <w:rsid w:val="009A6AAC"/>
    <w:rsid w:val="009A6D68"/>
    <w:rsid w:val="009C03BC"/>
    <w:rsid w:val="009E0446"/>
    <w:rsid w:val="009E577D"/>
    <w:rsid w:val="00A05E29"/>
    <w:rsid w:val="00A14C63"/>
    <w:rsid w:val="00A15506"/>
    <w:rsid w:val="00A17D52"/>
    <w:rsid w:val="00A264CB"/>
    <w:rsid w:val="00A274EA"/>
    <w:rsid w:val="00A3721F"/>
    <w:rsid w:val="00A56413"/>
    <w:rsid w:val="00A8605E"/>
    <w:rsid w:val="00A94FFB"/>
    <w:rsid w:val="00A97F9D"/>
    <w:rsid w:val="00AB557A"/>
    <w:rsid w:val="00AB62CF"/>
    <w:rsid w:val="00AC2F2B"/>
    <w:rsid w:val="00AC76FF"/>
    <w:rsid w:val="00AD6305"/>
    <w:rsid w:val="00AD63AE"/>
    <w:rsid w:val="00AD647E"/>
    <w:rsid w:val="00AF468D"/>
    <w:rsid w:val="00B01507"/>
    <w:rsid w:val="00B03E0A"/>
    <w:rsid w:val="00B05F12"/>
    <w:rsid w:val="00B07198"/>
    <w:rsid w:val="00B15689"/>
    <w:rsid w:val="00B22630"/>
    <w:rsid w:val="00B3677F"/>
    <w:rsid w:val="00B437B1"/>
    <w:rsid w:val="00B43929"/>
    <w:rsid w:val="00B46363"/>
    <w:rsid w:val="00B65C6C"/>
    <w:rsid w:val="00B87C5C"/>
    <w:rsid w:val="00B968D5"/>
    <w:rsid w:val="00B96B15"/>
    <w:rsid w:val="00BA1A93"/>
    <w:rsid w:val="00BB74A9"/>
    <w:rsid w:val="00BC080E"/>
    <w:rsid w:val="00BE50EE"/>
    <w:rsid w:val="00BE74C2"/>
    <w:rsid w:val="00BF1E95"/>
    <w:rsid w:val="00BF3032"/>
    <w:rsid w:val="00BF38B9"/>
    <w:rsid w:val="00C0428B"/>
    <w:rsid w:val="00C066EA"/>
    <w:rsid w:val="00C107A8"/>
    <w:rsid w:val="00C1695B"/>
    <w:rsid w:val="00C22D3D"/>
    <w:rsid w:val="00C2333F"/>
    <w:rsid w:val="00C3128C"/>
    <w:rsid w:val="00C322EC"/>
    <w:rsid w:val="00C34A9F"/>
    <w:rsid w:val="00C471C0"/>
    <w:rsid w:val="00C47389"/>
    <w:rsid w:val="00C47B81"/>
    <w:rsid w:val="00C5087C"/>
    <w:rsid w:val="00C55585"/>
    <w:rsid w:val="00C55945"/>
    <w:rsid w:val="00C709DB"/>
    <w:rsid w:val="00C748EC"/>
    <w:rsid w:val="00C848D4"/>
    <w:rsid w:val="00CB12BF"/>
    <w:rsid w:val="00CB660E"/>
    <w:rsid w:val="00CD0C43"/>
    <w:rsid w:val="00CD4F88"/>
    <w:rsid w:val="00CE2515"/>
    <w:rsid w:val="00CF254C"/>
    <w:rsid w:val="00CF6B1C"/>
    <w:rsid w:val="00D10E75"/>
    <w:rsid w:val="00D254FA"/>
    <w:rsid w:val="00D35B8D"/>
    <w:rsid w:val="00D37705"/>
    <w:rsid w:val="00D47CD6"/>
    <w:rsid w:val="00D510D6"/>
    <w:rsid w:val="00D60814"/>
    <w:rsid w:val="00D66176"/>
    <w:rsid w:val="00D73ABD"/>
    <w:rsid w:val="00DB1514"/>
    <w:rsid w:val="00DB60A8"/>
    <w:rsid w:val="00DF2D7B"/>
    <w:rsid w:val="00E15267"/>
    <w:rsid w:val="00E2077D"/>
    <w:rsid w:val="00E20A60"/>
    <w:rsid w:val="00E26EAB"/>
    <w:rsid w:val="00E46348"/>
    <w:rsid w:val="00E50192"/>
    <w:rsid w:val="00E576E7"/>
    <w:rsid w:val="00E6181E"/>
    <w:rsid w:val="00E67EEC"/>
    <w:rsid w:val="00E70ADF"/>
    <w:rsid w:val="00E74CBD"/>
    <w:rsid w:val="00E7688B"/>
    <w:rsid w:val="00E777BD"/>
    <w:rsid w:val="00E8368C"/>
    <w:rsid w:val="00E86ED6"/>
    <w:rsid w:val="00E9089C"/>
    <w:rsid w:val="00EA06BB"/>
    <w:rsid w:val="00EA409F"/>
    <w:rsid w:val="00EA5EEB"/>
    <w:rsid w:val="00EB45E2"/>
    <w:rsid w:val="00EB70BD"/>
    <w:rsid w:val="00EC14BF"/>
    <w:rsid w:val="00EC5D4C"/>
    <w:rsid w:val="00F04276"/>
    <w:rsid w:val="00F241B3"/>
    <w:rsid w:val="00F27009"/>
    <w:rsid w:val="00F311D7"/>
    <w:rsid w:val="00F43C40"/>
    <w:rsid w:val="00F478C2"/>
    <w:rsid w:val="00F54EFA"/>
    <w:rsid w:val="00F576C2"/>
    <w:rsid w:val="00F622B0"/>
    <w:rsid w:val="00F66DAA"/>
    <w:rsid w:val="00F77D34"/>
    <w:rsid w:val="00FA314F"/>
    <w:rsid w:val="00FB065C"/>
    <w:rsid w:val="00FB0871"/>
    <w:rsid w:val="00FB0E03"/>
    <w:rsid w:val="00FB2D18"/>
    <w:rsid w:val="00FB7E3F"/>
    <w:rsid w:val="00FD658F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character" w:customStyle="1" w:styleId="itemtext">
    <w:name w:val="itemtext"/>
    <w:basedOn w:val="a0"/>
    <w:rsid w:val="00792BE6"/>
  </w:style>
  <w:style w:type="paragraph" w:customStyle="1" w:styleId="Default">
    <w:name w:val="Default"/>
    <w:rsid w:val="0053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3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character" w:customStyle="1" w:styleId="itemtext">
    <w:name w:val="itemtext"/>
    <w:basedOn w:val="a0"/>
    <w:rsid w:val="00792BE6"/>
  </w:style>
  <w:style w:type="paragraph" w:customStyle="1" w:styleId="Default">
    <w:name w:val="Default"/>
    <w:rsid w:val="0053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3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C42A3E0EE1547162C53E791A9ED09I" TargetMode="External"/><Relationship Id="rId13" Type="http://schemas.openxmlformats.org/officeDocument/2006/relationships/hyperlink" Target="consultantplus://offline/ref=59B0E6433B6D4CB3CC2FE51251A8BCEA3C40A0EBE01847162C53E791A9D9D4AF4B48DD50FEAA05BBE001I" TargetMode="External"/><Relationship Id="rId18" Type="http://schemas.openxmlformats.org/officeDocument/2006/relationships/hyperlink" Target="consultantplus://offline/ref=59B0E6433B6D4CB3CC2FE51251A8BCEA3C40A0EBE01847162C53E791A9D9D4AF4B48DD50FEAA0CB7E00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consultantplus://offline/ref=59B0E6433B6D4CB3CC2FE51251A8BCEA3C40A0EBE01847162C53E791A9D9D4AF4B48DD50FEAB04B5E004I" TargetMode="External"/><Relationship Id="rId17" Type="http://schemas.openxmlformats.org/officeDocument/2006/relationships/hyperlink" Target="consultantplus://offline/ref=59B0E6433B6D4CB3CC2FE51251A8BCEA3C40A0EBE01847162C53E791A9D9D4AF4B48DD50FEAA02BAE00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0A0EBE01847162C53E791A9D9D4AF4B48DD50FEAA07BAE005I" TargetMode="External"/><Relationship Id="rId20" Type="http://schemas.openxmlformats.org/officeDocument/2006/relationships/hyperlink" Target="consultantplus://offline/ref=59B0E6433B6D4CB3CC2FE51251A8BCEA3C40A0EBE01847162C53E791A9D9D4AF4B48DD50FEAA07BAE00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59B0E6433B6D4CB3CC2FE51251A8BCEA3C40A0EBE01847162C53E791A9D9D4AF4B48DD50FEAB04BAE00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0A0EBE01847162C53E791A9D9D4AF4B48DD50FEAA0CB7E00E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9B0E6433B6D4CB3CC2FE51251A8BCEA3C40A0EBE01847162C53E791A9D9D4AF4B48DD50FEAB04B3E007I" TargetMode="External"/><Relationship Id="rId19" Type="http://schemas.openxmlformats.org/officeDocument/2006/relationships/hyperlink" Target="consultantplus://offline/ref=59B0E6433B6D4CB3CC2FE51251A8BCEA3C40A0EBE01847162C53E791A9D9D4AF4B48DD50FEAA0CB7E0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0A0EBE01847162C53E791A9D9D4AF4B48DD50FEAB07B7E000I" TargetMode="External"/><Relationship Id="rId14" Type="http://schemas.openxmlformats.org/officeDocument/2006/relationships/hyperlink" Target="consultantplus://offline/ref=59B0E6433B6D4CB3CC2FE51251A8BCEA3C40A0EBE01847162C53E791A9D9D4AF4B48DD50FEAA0CB7E00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7320-EE82-446E-97FA-1499508D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Urist</cp:lastModifiedBy>
  <cp:revision>2</cp:revision>
  <cp:lastPrinted>2015-07-16T03:46:00Z</cp:lastPrinted>
  <dcterms:created xsi:type="dcterms:W3CDTF">2015-07-16T03:46:00Z</dcterms:created>
  <dcterms:modified xsi:type="dcterms:W3CDTF">2015-07-16T03:46:00Z</dcterms:modified>
</cp:coreProperties>
</file>